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641D4" w14:textId="30FEBB85" w:rsidR="0069717C" w:rsidRPr="00A61EA2" w:rsidRDefault="0069717C" w:rsidP="003B5234">
      <w:pPr>
        <w:tabs>
          <w:tab w:val="left" w:pos="3406"/>
        </w:tabs>
        <w:ind w:left="3406" w:hanging="3406"/>
        <w:rPr>
          <w:rFonts w:cs="Arial"/>
          <w:color w:val="262626" w:themeColor="text1" w:themeTint="D9"/>
          <w:lang w:val="es-CO"/>
        </w:rPr>
      </w:pPr>
    </w:p>
    <w:p w14:paraId="376CBBE0" w14:textId="6170630E" w:rsidR="00474921" w:rsidRPr="00A61EA2" w:rsidRDefault="00474921" w:rsidP="00DB3190">
      <w:pPr>
        <w:tabs>
          <w:tab w:val="left" w:pos="3406"/>
        </w:tabs>
        <w:rPr>
          <w:rFonts w:cs="Arial"/>
          <w:color w:val="262626" w:themeColor="text1" w:themeTint="D9"/>
          <w:lang w:val="es-CO"/>
        </w:rPr>
      </w:pPr>
    </w:p>
    <w:p w14:paraId="74AC80E3" w14:textId="77777777" w:rsidR="002E5B94" w:rsidRPr="00A61EA2" w:rsidRDefault="002E5B94" w:rsidP="00DB3190">
      <w:pPr>
        <w:tabs>
          <w:tab w:val="left" w:pos="3406"/>
        </w:tabs>
        <w:jc w:val="both"/>
        <w:rPr>
          <w:rFonts w:cs="Arial"/>
          <w:color w:val="262626" w:themeColor="text1" w:themeTint="D9"/>
          <w:lang w:val="es-CO"/>
        </w:rPr>
      </w:pPr>
    </w:p>
    <w:p w14:paraId="43B28B1B" w14:textId="77777777" w:rsidR="00202C89" w:rsidRPr="00A61EA2" w:rsidRDefault="00202C89" w:rsidP="00DB3190">
      <w:pPr>
        <w:tabs>
          <w:tab w:val="left" w:pos="3406"/>
        </w:tabs>
        <w:jc w:val="both"/>
        <w:rPr>
          <w:rFonts w:cs="Arial"/>
          <w:smallCaps/>
          <w:color w:val="262626" w:themeColor="text1" w:themeTint="D9"/>
          <w:spacing w:val="20"/>
          <w:lang w:val="es-CO"/>
        </w:rPr>
      </w:pPr>
    </w:p>
    <w:tbl>
      <w:tblPr>
        <w:tblpPr w:leftFromText="187" w:rightFromText="187" w:vertAnchor="page" w:horzAnchor="margin" w:tblpXSpec="center" w:tblpY="4666"/>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330"/>
      </w:tblGrid>
      <w:tr w:rsidR="00357226" w:rsidRPr="003B5234" w14:paraId="54FEA156" w14:textId="77777777" w:rsidTr="00863D18">
        <w:tc>
          <w:tcPr>
            <w:tcW w:w="7330" w:type="dxa"/>
          </w:tcPr>
          <w:bookmarkStart w:id="0" w:name="_Toc509835303" w:displacedByCustomXml="next"/>
          <w:sdt>
            <w:sdtPr>
              <w:rPr>
                <w:rFonts w:ascii="Palatino Linotype" w:eastAsiaTheme="majorEastAsia" w:hAnsi="Palatino Linotype" w:cstheme="majorBidi"/>
                <w:color w:val="4472C4" w:themeColor="accent1"/>
                <w:sz w:val="72"/>
                <w:szCs w:val="72"/>
                <w:lang w:val="es-CO"/>
              </w:rPr>
              <w:alias w:val="Título"/>
              <w:id w:val="13406919"/>
              <w:placeholder>
                <w:docPart w:val="D6462182257C4CC2B28A313A61B8FF45"/>
              </w:placeholder>
              <w:dataBinding w:prefixMappings="xmlns:ns0='http://schemas.openxmlformats.org/package/2006/metadata/core-properties' xmlns:ns1='http://purl.org/dc/elements/1.1/'" w:xpath="/ns0:coreProperties[1]/ns1:title[1]" w:storeItemID="{6C3C8BC8-F283-45AE-878A-BAB7291924A1}"/>
              <w:text/>
            </w:sdtPr>
            <w:sdtEndPr/>
            <w:sdtContent>
              <w:p w14:paraId="78EA7104" w14:textId="6870EFEF" w:rsidR="00357226" w:rsidRPr="00A61EA2" w:rsidRDefault="00744BE6" w:rsidP="00DB3190">
                <w:pPr>
                  <w:pStyle w:val="Sinespaciado"/>
                  <w:jc w:val="both"/>
                  <w:rPr>
                    <w:rFonts w:ascii="Palatino Linotype" w:eastAsiaTheme="majorEastAsia" w:hAnsi="Palatino Linotype" w:cstheme="majorBidi"/>
                    <w:color w:val="4472C4" w:themeColor="accent1"/>
                    <w:sz w:val="88"/>
                    <w:szCs w:val="88"/>
                    <w:lang w:val="es-CO"/>
                  </w:rPr>
                </w:pPr>
                <w:r>
                  <w:rPr>
                    <w:rFonts w:ascii="Palatino Linotype" w:eastAsiaTheme="majorEastAsia" w:hAnsi="Palatino Linotype" w:cstheme="majorBidi"/>
                    <w:color w:val="4472C4" w:themeColor="accent1"/>
                    <w:sz w:val="72"/>
                    <w:szCs w:val="72"/>
                    <w:lang w:val="es-CO"/>
                  </w:rPr>
                  <w:t>Justificación técnico – económica para el anteproyecto de presupuesto 2021</w:t>
                </w:r>
              </w:p>
            </w:sdtContent>
          </w:sdt>
        </w:tc>
      </w:tr>
      <w:tr w:rsidR="00357226" w:rsidRPr="003B5234" w14:paraId="1CA0108C" w14:textId="77777777" w:rsidTr="00863D18">
        <w:tc>
          <w:tcPr>
            <w:tcW w:w="7330" w:type="dxa"/>
            <w:tcMar>
              <w:top w:w="216" w:type="dxa"/>
              <w:left w:w="115" w:type="dxa"/>
              <w:bottom w:w="216" w:type="dxa"/>
              <w:right w:w="115" w:type="dxa"/>
            </w:tcMar>
          </w:tcPr>
          <w:p w14:paraId="478035E3" w14:textId="77777777" w:rsidR="00357226" w:rsidRPr="00A61EA2" w:rsidRDefault="00357226" w:rsidP="00DB3190">
            <w:pPr>
              <w:pStyle w:val="Sinespaciado"/>
              <w:rPr>
                <w:rFonts w:ascii="Palatino Linotype" w:hAnsi="Palatino Linotype"/>
                <w:color w:val="2F5496" w:themeColor="accent1" w:themeShade="BF"/>
                <w:sz w:val="24"/>
                <w:lang w:val="es-CO"/>
              </w:rPr>
            </w:pPr>
          </w:p>
        </w:tc>
      </w:tr>
    </w:tbl>
    <w:p w14:paraId="52BB8ACA" w14:textId="77777777" w:rsidR="00357226" w:rsidRPr="00A61EA2" w:rsidRDefault="00357226" w:rsidP="00DB3190">
      <w:pPr>
        <w:pStyle w:val="Ttulo1"/>
        <w:spacing w:before="0"/>
        <w:rPr>
          <w:rFonts w:ascii="Palatino Linotype" w:hAnsi="Palatino Linotype" w:cs="Times New Roman (Títulos en alf"/>
          <w:sz w:val="24"/>
          <w:szCs w:val="24"/>
          <w:lang w:val="es-CO"/>
        </w:rPr>
      </w:pPr>
    </w:p>
    <w:p w14:paraId="4069BA28" w14:textId="77777777" w:rsidR="00357226" w:rsidRPr="00A61EA2" w:rsidRDefault="00357226" w:rsidP="00DB3190">
      <w:pPr>
        <w:pStyle w:val="Ttulo1"/>
        <w:spacing w:before="0"/>
        <w:rPr>
          <w:rFonts w:ascii="Palatino Linotype" w:hAnsi="Palatino Linotype" w:cs="Times New Roman (Títulos en alf"/>
          <w:sz w:val="24"/>
          <w:szCs w:val="24"/>
          <w:lang w:val="es-CO"/>
        </w:rPr>
      </w:pPr>
    </w:p>
    <w:p w14:paraId="28A588B5" w14:textId="77777777" w:rsidR="00357226" w:rsidRPr="00A61EA2" w:rsidRDefault="00357226" w:rsidP="00DB3190">
      <w:pPr>
        <w:pStyle w:val="Ttulo1"/>
        <w:spacing w:before="0"/>
        <w:rPr>
          <w:rFonts w:ascii="Palatino Linotype" w:hAnsi="Palatino Linotype" w:cs="Times New Roman (Títulos en alf"/>
          <w:sz w:val="24"/>
          <w:szCs w:val="24"/>
          <w:lang w:val="es-CO"/>
        </w:rPr>
      </w:pPr>
      <w:r w:rsidRPr="00A61EA2">
        <w:rPr>
          <w:rFonts w:ascii="Palatino Linotype" w:hAnsi="Palatino Linotype" w:cs="Times New Roman (Títulos en alf"/>
          <w:sz w:val="24"/>
          <w:szCs w:val="24"/>
          <w:lang w:val="es-CO"/>
        </w:rPr>
        <w:br w:type="page"/>
      </w:r>
    </w:p>
    <w:p w14:paraId="25B60178" w14:textId="3CD73F56" w:rsidR="00357226" w:rsidRPr="00512E1C" w:rsidRDefault="00357226" w:rsidP="00DB3190">
      <w:pPr>
        <w:pStyle w:val="Ttulo1"/>
        <w:spacing w:before="0"/>
        <w:rPr>
          <w:rFonts w:ascii="Palatino Linotype" w:hAnsi="Palatino Linotype" w:cs="Times New Roman (Títulos en alf"/>
          <w:b/>
          <w:sz w:val="24"/>
          <w:szCs w:val="24"/>
          <w:lang w:val="es-CO"/>
        </w:rPr>
      </w:pPr>
      <w:bookmarkStart w:id="1" w:name="_Toc36031106"/>
      <w:r w:rsidRPr="00512E1C">
        <w:rPr>
          <w:rFonts w:ascii="Palatino Linotype" w:hAnsi="Palatino Linotype" w:cs="Times New Roman (Títulos en alf"/>
          <w:b/>
          <w:sz w:val="24"/>
          <w:szCs w:val="24"/>
          <w:lang w:val="es-CO"/>
        </w:rPr>
        <w:lastRenderedPageBreak/>
        <w:t>PRESENTACIÓN</w:t>
      </w:r>
      <w:bookmarkEnd w:id="0"/>
      <w:bookmarkEnd w:id="1"/>
    </w:p>
    <w:p w14:paraId="52632C23" w14:textId="77777777" w:rsidR="00357226" w:rsidRPr="00A61EA2" w:rsidRDefault="00357226" w:rsidP="00DB3190">
      <w:pPr>
        <w:jc w:val="both"/>
        <w:rPr>
          <w:rFonts w:cs="Times New Roman (Cuerpo en alfa"/>
          <w:lang w:val="es-CO"/>
        </w:rPr>
      </w:pPr>
    </w:p>
    <w:p w14:paraId="6957D5B7" w14:textId="77777777" w:rsidR="003F24C5" w:rsidRPr="00A61EA2" w:rsidRDefault="003F24C5" w:rsidP="00DB3190">
      <w:pPr>
        <w:jc w:val="both"/>
        <w:rPr>
          <w:rFonts w:cs="Times New Roman (Cuerpo en alfa"/>
          <w:lang w:val="es-CO"/>
        </w:rPr>
      </w:pPr>
    </w:p>
    <w:p w14:paraId="20905D71" w14:textId="5C903410" w:rsidR="003F24C5" w:rsidRPr="00A61EA2" w:rsidRDefault="00DB2246" w:rsidP="00DB3190">
      <w:pPr>
        <w:jc w:val="both"/>
        <w:rPr>
          <w:rFonts w:cs="Times New Roman (Cuerpo en alfa"/>
          <w:lang w:val="es-CO"/>
        </w:rPr>
      </w:pPr>
      <w:r w:rsidRPr="00A61EA2">
        <w:rPr>
          <w:rFonts w:cs="Times New Roman (Cuerpo en alfa"/>
          <w:lang w:val="es-CO"/>
        </w:rPr>
        <w:t>Este</w:t>
      </w:r>
      <w:r w:rsidR="003F24C5" w:rsidRPr="00A61EA2">
        <w:rPr>
          <w:rFonts w:cs="Times New Roman (Cuerpo en alfa"/>
          <w:lang w:val="es-CO"/>
        </w:rPr>
        <w:t xml:space="preserve"> documento </w:t>
      </w:r>
      <w:r w:rsidR="00E82617">
        <w:rPr>
          <w:rFonts w:cs="Times New Roman (Cuerpo en alfa"/>
          <w:lang w:val="es-CO"/>
        </w:rPr>
        <w:t>contiene</w:t>
      </w:r>
      <w:r w:rsidR="003F24C5" w:rsidRPr="00A61EA2">
        <w:rPr>
          <w:rFonts w:cs="Times New Roman (Cuerpo en alfa"/>
          <w:lang w:val="es-CO"/>
        </w:rPr>
        <w:t xml:space="preserve"> la justificación </w:t>
      </w:r>
      <w:r w:rsidR="003E70F3">
        <w:rPr>
          <w:rFonts w:cs="Times New Roman (Cuerpo en alfa"/>
          <w:lang w:val="es-CO"/>
        </w:rPr>
        <w:t xml:space="preserve">técnico económico </w:t>
      </w:r>
      <w:r w:rsidR="003F24C5" w:rsidRPr="00A61EA2">
        <w:rPr>
          <w:rFonts w:cs="Times New Roman (Cuerpo en alfa"/>
          <w:lang w:val="es-CO"/>
        </w:rPr>
        <w:t xml:space="preserve">del Anteproyecto de presupuesto de la Jurisdicción Especial </w:t>
      </w:r>
      <w:r w:rsidR="00126F34">
        <w:rPr>
          <w:rFonts w:cs="Times New Roman (Cuerpo en alfa"/>
          <w:lang w:val="es-CO"/>
        </w:rPr>
        <w:t>para la</w:t>
      </w:r>
      <w:r w:rsidR="003F24C5" w:rsidRPr="00A61EA2">
        <w:rPr>
          <w:rFonts w:cs="Times New Roman (Cuerpo en alfa"/>
          <w:lang w:val="es-CO"/>
        </w:rPr>
        <w:t xml:space="preserve"> Paz (JEP) par</w:t>
      </w:r>
      <w:r w:rsidR="005026CB">
        <w:rPr>
          <w:rFonts w:cs="Times New Roman (Cuerpo en alfa"/>
          <w:lang w:val="es-CO"/>
        </w:rPr>
        <w:t>a la vigencia fiscal 2021</w:t>
      </w:r>
      <w:r w:rsidR="003F24C5" w:rsidRPr="00A61EA2">
        <w:rPr>
          <w:rFonts w:cs="Times New Roman (Cuerpo en alfa"/>
          <w:lang w:val="es-CO"/>
        </w:rPr>
        <w:t xml:space="preserve">, de conformidad con las directrices </w:t>
      </w:r>
      <w:r w:rsidR="00E82617">
        <w:rPr>
          <w:rFonts w:cs="Times New Roman (Cuerpo en alfa"/>
          <w:lang w:val="es-CO"/>
        </w:rPr>
        <w:t>definidas</w:t>
      </w:r>
      <w:r w:rsidR="003F24C5" w:rsidRPr="00A61EA2">
        <w:rPr>
          <w:rFonts w:cs="Times New Roman (Cuerpo en alfa"/>
          <w:lang w:val="es-CO"/>
        </w:rPr>
        <w:t xml:space="preserve"> </w:t>
      </w:r>
      <w:r w:rsidR="00D0791C" w:rsidRPr="00A61EA2">
        <w:rPr>
          <w:rFonts w:cs="Times New Roman (Cuerpo en alfa"/>
          <w:lang w:val="es-CO"/>
        </w:rPr>
        <w:t xml:space="preserve">para su elaboración </w:t>
      </w:r>
      <w:r w:rsidR="003F24C5" w:rsidRPr="00A61EA2">
        <w:rPr>
          <w:rFonts w:cs="Times New Roman (Cuerpo en alfa"/>
          <w:lang w:val="es-CO"/>
        </w:rPr>
        <w:t xml:space="preserve">por el Ministerio de Hacienda y Crédito Público (MHCP) y el Departamento Nacional de Planeación </w:t>
      </w:r>
      <w:r w:rsidR="005026CB">
        <w:rPr>
          <w:rFonts w:cs="Times New Roman (Cuerpo en alfa"/>
          <w:lang w:val="es-CO"/>
        </w:rPr>
        <w:t>(DNP)</w:t>
      </w:r>
      <w:r w:rsidR="003F24C5" w:rsidRPr="00A61EA2">
        <w:rPr>
          <w:rFonts w:cs="Times New Roman (Cuerpo en alfa"/>
          <w:lang w:val="es-CO"/>
        </w:rPr>
        <w:t>.</w:t>
      </w:r>
    </w:p>
    <w:p w14:paraId="1559181D" w14:textId="77777777" w:rsidR="00357226" w:rsidRPr="00A61EA2" w:rsidRDefault="00357226" w:rsidP="00DB3190">
      <w:pPr>
        <w:jc w:val="both"/>
        <w:rPr>
          <w:rFonts w:cs="Times New Roman (Cuerpo en alfa"/>
          <w:lang w:val="es-CO"/>
        </w:rPr>
      </w:pPr>
    </w:p>
    <w:p w14:paraId="4D8D4F48" w14:textId="5E8E2753" w:rsidR="007E1859" w:rsidRDefault="00357226" w:rsidP="00DB3190">
      <w:pPr>
        <w:jc w:val="both"/>
        <w:rPr>
          <w:rFonts w:cs="Times New Roman (Cuerpo en alfa"/>
          <w:lang w:val="es-CO"/>
        </w:rPr>
      </w:pPr>
      <w:r w:rsidRPr="00A61EA2">
        <w:rPr>
          <w:rFonts w:cs="Times New Roman (Cuerpo en alfa"/>
          <w:lang w:val="es-CO"/>
        </w:rPr>
        <w:t xml:space="preserve">El Anteproyecto de </w:t>
      </w:r>
      <w:r w:rsidR="00575A45" w:rsidRPr="00A61EA2">
        <w:rPr>
          <w:rFonts w:cs="Times New Roman (Cuerpo en alfa"/>
          <w:lang w:val="es-CO"/>
        </w:rPr>
        <w:t>p</w:t>
      </w:r>
      <w:r w:rsidRPr="00A61EA2">
        <w:rPr>
          <w:rFonts w:cs="Times New Roman (Cuerpo en alfa"/>
          <w:lang w:val="es-CO"/>
        </w:rPr>
        <w:t>resupuesto de la JEP para la vigencia fiscal 202</w:t>
      </w:r>
      <w:r w:rsidR="005026CB">
        <w:rPr>
          <w:rFonts w:cs="Times New Roman (Cuerpo en alfa"/>
          <w:lang w:val="es-CO"/>
        </w:rPr>
        <w:t>1</w:t>
      </w:r>
      <w:r w:rsidR="003E70F3">
        <w:rPr>
          <w:rFonts w:cs="Times New Roman (Cuerpo en alfa"/>
          <w:lang w:val="es-CO"/>
        </w:rPr>
        <w:t xml:space="preserve"> </w:t>
      </w:r>
      <w:r w:rsidRPr="00A61EA2">
        <w:rPr>
          <w:rFonts w:cs="Times New Roman (Cuerpo en alfa"/>
          <w:lang w:val="es-CO"/>
        </w:rPr>
        <w:t>es el resultado de un ejercicio articulado de planeación</w:t>
      </w:r>
      <w:r w:rsidR="00E82617">
        <w:rPr>
          <w:rFonts w:cs="Times New Roman (Cuerpo en alfa"/>
          <w:lang w:val="es-CO"/>
        </w:rPr>
        <w:t xml:space="preserve">, liderado por la Secretaria Ejecutiva con las </w:t>
      </w:r>
      <w:r w:rsidR="005E15D1">
        <w:rPr>
          <w:rFonts w:cs="Times New Roman (Cuerpo en alfa"/>
          <w:lang w:val="es-CO"/>
        </w:rPr>
        <w:t xml:space="preserve">dependencias e instancias </w:t>
      </w:r>
      <w:r w:rsidR="00F73F6E">
        <w:rPr>
          <w:rFonts w:cs="Times New Roman (Cuerpo en alfa"/>
          <w:lang w:val="es-CO"/>
        </w:rPr>
        <w:t>que conforman la juris</w:t>
      </w:r>
      <w:r w:rsidR="003E70F3">
        <w:rPr>
          <w:rFonts w:cs="Times New Roman (Cuerpo en alfa"/>
          <w:lang w:val="es-CO"/>
        </w:rPr>
        <w:t>dicción</w:t>
      </w:r>
      <w:r w:rsidR="00F73F6E">
        <w:rPr>
          <w:rFonts w:cs="Times New Roman (Cuerpo en alfa"/>
          <w:lang w:val="es-CO"/>
        </w:rPr>
        <w:t xml:space="preserve"> </w:t>
      </w:r>
      <w:r w:rsidR="007E1859">
        <w:rPr>
          <w:rFonts w:cs="Times New Roman (Cuerpo en alfa"/>
          <w:lang w:val="es-CO"/>
        </w:rPr>
        <w:t>para su presentación ante el Órgano de Gobierno de la JEP a quien le corresponde su aprobación, d</w:t>
      </w:r>
      <w:r w:rsidR="007E1859" w:rsidRPr="007E1859">
        <w:rPr>
          <w:rFonts w:cs="Times New Roman (Cuerpo en alfa"/>
          <w:lang w:val="es-CO"/>
        </w:rPr>
        <w:t>e conformidad con el parágrafo 20 del artículo transitorio 50 del Acto Legislativo 01 de 2017</w:t>
      </w:r>
      <w:r w:rsidR="00F73F6E">
        <w:rPr>
          <w:rFonts w:cs="Times New Roman (Cuerpo en alfa"/>
          <w:lang w:val="es-CO"/>
        </w:rPr>
        <w:t xml:space="preserve"> y </w:t>
      </w:r>
      <w:r w:rsidR="00F73F6E" w:rsidRPr="007E1859">
        <w:rPr>
          <w:rFonts w:cs="Times New Roman (Cuerpo en alfa"/>
          <w:lang w:val="es-CO"/>
        </w:rPr>
        <w:t>el numeral 1 de su artículo 85</w:t>
      </w:r>
      <w:r w:rsidR="00F73F6E">
        <w:rPr>
          <w:rFonts w:cs="Times New Roman (Cuerpo en alfa"/>
          <w:lang w:val="es-CO"/>
        </w:rPr>
        <w:t xml:space="preserve"> de l</w:t>
      </w:r>
      <w:r w:rsidR="007E1859" w:rsidRPr="007E1859">
        <w:rPr>
          <w:rFonts w:cs="Times New Roman (Cuerpo en alfa"/>
          <w:lang w:val="es-CO"/>
        </w:rPr>
        <w:t>a Ley 270 de 1996</w:t>
      </w:r>
      <w:r w:rsidR="00F73F6E">
        <w:rPr>
          <w:rFonts w:cs="Times New Roman (Cuerpo en alfa"/>
          <w:lang w:val="es-CO"/>
        </w:rPr>
        <w:t>.</w:t>
      </w:r>
    </w:p>
    <w:p w14:paraId="1D2D2737" w14:textId="77777777" w:rsidR="007E1859" w:rsidRDefault="007E1859" w:rsidP="00DB3190">
      <w:pPr>
        <w:jc w:val="both"/>
        <w:rPr>
          <w:rFonts w:cs="Times New Roman (Cuerpo en alfa"/>
          <w:lang w:val="es-CO"/>
        </w:rPr>
      </w:pPr>
    </w:p>
    <w:p w14:paraId="152FA2E5" w14:textId="31F13CF7" w:rsidR="00D17556" w:rsidRPr="00A61EA2" w:rsidRDefault="00957324" w:rsidP="00D17556">
      <w:pPr>
        <w:jc w:val="both"/>
        <w:rPr>
          <w:rFonts w:cs="Times New Roman (Cuerpo en alfa"/>
          <w:lang w:val="es-CO"/>
        </w:rPr>
      </w:pPr>
      <w:r>
        <w:rPr>
          <w:rFonts w:cs="Times New Roman (Cuerpo en alfa"/>
          <w:lang w:val="es-CO"/>
        </w:rPr>
        <w:t>C</w:t>
      </w:r>
      <w:r w:rsidR="004E35F7">
        <w:rPr>
          <w:rFonts w:cs="Times New Roman (Cuerpo en alfa"/>
          <w:lang w:val="es-CO"/>
        </w:rPr>
        <w:t>onsiderando que l</w:t>
      </w:r>
      <w:r w:rsidR="004E35F7" w:rsidRPr="005E15D1">
        <w:rPr>
          <w:rFonts w:cs="Times New Roman (Cuerpo en alfa"/>
          <w:lang w:val="es-CO"/>
        </w:rPr>
        <w:t>a JEP funcionará por un término inicial de 15 años, que podrá</w:t>
      </w:r>
      <w:r w:rsidR="005E15D1" w:rsidRPr="005E15D1">
        <w:rPr>
          <w:rFonts w:cs="Times New Roman (Cuerpo en alfa"/>
          <w:lang w:val="es-CO"/>
        </w:rPr>
        <w:t xml:space="preserve"> ser extendido por 5 años más; e</w:t>
      </w:r>
      <w:r w:rsidR="004E35F7" w:rsidRPr="005E15D1">
        <w:rPr>
          <w:rFonts w:cs="Times New Roman (Cuerpo en alfa"/>
          <w:lang w:val="es-CO"/>
        </w:rPr>
        <w:t xml:space="preserve">s decir, </w:t>
      </w:r>
      <w:r w:rsidR="005E15D1" w:rsidRPr="005E15D1">
        <w:rPr>
          <w:rFonts w:cs="Times New Roman (Cuerpo en alfa"/>
          <w:lang w:val="es-CO"/>
        </w:rPr>
        <w:t xml:space="preserve">que </w:t>
      </w:r>
      <w:r w:rsidR="004E35F7" w:rsidRPr="005E15D1">
        <w:rPr>
          <w:rFonts w:cs="Times New Roman (Cuerpo en alfa"/>
          <w:lang w:val="es-CO"/>
        </w:rPr>
        <w:t xml:space="preserve">este mecanismo de justicia especial </w:t>
      </w:r>
      <w:r w:rsidR="00903AEE">
        <w:rPr>
          <w:rFonts w:cs="Times New Roman (Cuerpo en alfa"/>
          <w:lang w:val="es-CO"/>
        </w:rPr>
        <w:t>cuenta</w:t>
      </w:r>
      <w:r w:rsidR="004E35F7" w:rsidRPr="005E15D1">
        <w:rPr>
          <w:rFonts w:cs="Times New Roman (Cuerpo en alfa"/>
          <w:lang w:val="es-CO"/>
        </w:rPr>
        <w:t xml:space="preserve"> </w:t>
      </w:r>
      <w:r w:rsidR="00903AEE">
        <w:rPr>
          <w:rFonts w:cs="Times New Roman (Cuerpo en alfa"/>
          <w:lang w:val="es-CO"/>
        </w:rPr>
        <w:t>co</w:t>
      </w:r>
      <w:r w:rsidR="005E15D1" w:rsidRPr="005E15D1">
        <w:rPr>
          <w:rFonts w:cs="Times New Roman (Cuerpo en alfa"/>
          <w:lang w:val="es-CO"/>
        </w:rPr>
        <w:t xml:space="preserve">n un límite de tiempo por </w:t>
      </w:r>
      <w:r w:rsidR="004E35F7" w:rsidRPr="005E15D1">
        <w:rPr>
          <w:rFonts w:cs="Times New Roman (Cuerpo en alfa"/>
          <w:lang w:val="es-CO"/>
        </w:rPr>
        <w:t xml:space="preserve">máximo </w:t>
      </w:r>
      <w:r w:rsidR="003E70F3">
        <w:rPr>
          <w:rFonts w:cs="Times New Roman (Cuerpo en alfa"/>
          <w:lang w:val="es-CO"/>
        </w:rPr>
        <w:t xml:space="preserve">de </w:t>
      </w:r>
      <w:r w:rsidR="004E35F7" w:rsidRPr="005E15D1">
        <w:rPr>
          <w:rFonts w:cs="Times New Roman (Cuerpo en alfa"/>
          <w:lang w:val="es-CO"/>
        </w:rPr>
        <w:t>20 años</w:t>
      </w:r>
      <w:r w:rsidR="005E15D1" w:rsidRPr="005E15D1">
        <w:rPr>
          <w:rFonts w:cs="Times New Roman (Cuerpo en alfa"/>
          <w:lang w:val="es-CO"/>
        </w:rPr>
        <w:t xml:space="preserve"> para cumplir cabalmente con su mandato constitucional</w:t>
      </w:r>
      <w:r w:rsidR="00556753">
        <w:rPr>
          <w:rFonts w:cs="Times New Roman (Cuerpo en alfa"/>
          <w:lang w:val="es-CO"/>
        </w:rPr>
        <w:t xml:space="preserve"> de </w:t>
      </w:r>
      <w:r w:rsidR="00284F4D">
        <w:rPr>
          <w:rFonts w:cs="Times New Roman (Cuerpo en alfa"/>
          <w:lang w:val="es-CO"/>
        </w:rPr>
        <w:t>administrar justicia</w:t>
      </w:r>
      <w:r w:rsidR="00556753">
        <w:rPr>
          <w:rFonts w:cs="Times New Roman (Cuerpo en alfa"/>
          <w:lang w:val="es-CO"/>
        </w:rPr>
        <w:t xml:space="preserve"> de </w:t>
      </w:r>
      <w:r w:rsidR="00EF4CC6" w:rsidRPr="00EF4CC6">
        <w:rPr>
          <w:rFonts w:cs="Times New Roman (Cuerpo en alfa"/>
          <w:lang w:val="es-CO"/>
        </w:rPr>
        <w:t>manera transitoria</w:t>
      </w:r>
      <w:r w:rsidR="00556753">
        <w:rPr>
          <w:rFonts w:cs="Times New Roman (Cuerpo en alfa"/>
          <w:lang w:val="es-CO"/>
        </w:rPr>
        <w:t xml:space="preserve"> y </w:t>
      </w:r>
      <w:r w:rsidR="00EF4CC6" w:rsidRPr="00EF4CC6">
        <w:rPr>
          <w:rFonts w:cs="Times New Roman (Cuerpo en alfa"/>
          <w:lang w:val="es-CO"/>
        </w:rPr>
        <w:t xml:space="preserve">autónoma </w:t>
      </w:r>
      <w:r w:rsidR="00EF4CC6">
        <w:rPr>
          <w:rFonts w:cs="Times New Roman (Cuerpo en alfa"/>
          <w:lang w:val="es-CO"/>
        </w:rPr>
        <w:t>respecto</w:t>
      </w:r>
      <w:r w:rsidR="00EF4CC6" w:rsidRPr="00EF4CC6">
        <w:rPr>
          <w:rFonts w:cs="Times New Roman (Cuerpo en alfa"/>
          <w:lang w:val="es-CO"/>
        </w:rPr>
        <w:t xml:space="preserve"> de las conductas cometidas con anterioridad al </w:t>
      </w:r>
      <w:r w:rsidR="00EF4CC6">
        <w:rPr>
          <w:rFonts w:cs="Times New Roman (Cuerpo en alfa"/>
          <w:lang w:val="es-CO"/>
        </w:rPr>
        <w:t>1</w:t>
      </w:r>
      <w:r w:rsidR="00EF4CC6" w:rsidRPr="00EF4CC6">
        <w:rPr>
          <w:rFonts w:cs="Times New Roman (Cuerpo en alfa"/>
          <w:lang w:val="es-CO"/>
        </w:rPr>
        <w:t>o de diciembre de 2016, por causa, con ocasión o en relación directa o indirecta con el conflicto armado</w:t>
      </w:r>
      <w:r w:rsidR="005E15D1" w:rsidRPr="005E15D1">
        <w:rPr>
          <w:rFonts w:cs="Times New Roman (Cuerpo en alfa"/>
          <w:lang w:val="es-CO"/>
        </w:rPr>
        <w:t xml:space="preserve">, </w:t>
      </w:r>
      <w:r w:rsidR="00EF4CC6">
        <w:rPr>
          <w:rFonts w:cs="Times New Roman (Cuerpo en alfa"/>
          <w:lang w:val="es-CO"/>
        </w:rPr>
        <w:t>en este anteproyecto</w:t>
      </w:r>
      <w:r w:rsidR="005E15D1" w:rsidRPr="005E15D1">
        <w:rPr>
          <w:rFonts w:cs="Times New Roman (Cuerpo en alfa"/>
          <w:lang w:val="es-CO"/>
        </w:rPr>
        <w:t xml:space="preserve"> </w:t>
      </w:r>
      <w:r w:rsidR="005E15D1">
        <w:rPr>
          <w:rFonts w:cs="Times New Roman (Cuerpo en alfa"/>
          <w:lang w:val="es-CO"/>
        </w:rPr>
        <w:t xml:space="preserve">se presentan </w:t>
      </w:r>
      <w:r w:rsidR="00FC4AD6">
        <w:rPr>
          <w:rFonts w:cs="Times New Roman (Cuerpo en alfa"/>
          <w:lang w:val="es-CO"/>
        </w:rPr>
        <w:t>dos escenarios de presupuesto</w:t>
      </w:r>
      <w:r w:rsidR="005E15D1">
        <w:rPr>
          <w:rFonts w:cs="Times New Roman (Cuerpo en alfa"/>
          <w:lang w:val="es-CO"/>
        </w:rPr>
        <w:t xml:space="preserve"> 2021</w:t>
      </w:r>
      <w:r w:rsidR="00EA4761">
        <w:rPr>
          <w:rFonts w:cs="Times New Roman (Cuerpo en alfa"/>
          <w:lang w:val="es-CO"/>
        </w:rPr>
        <w:t xml:space="preserve">: </w:t>
      </w:r>
      <w:r w:rsidR="00EF4CC6">
        <w:rPr>
          <w:rFonts w:cs="Times New Roman (Cuerpo en alfa"/>
          <w:lang w:val="es-CO"/>
        </w:rPr>
        <w:t>i)</w:t>
      </w:r>
      <w:r w:rsidR="00EA4761">
        <w:rPr>
          <w:rFonts w:cs="Times New Roman (Cuerpo en alfa"/>
          <w:lang w:val="es-CO"/>
        </w:rPr>
        <w:t xml:space="preserve"> real y </w:t>
      </w:r>
      <w:proofErr w:type="spellStart"/>
      <w:r w:rsidR="00EF4CC6">
        <w:rPr>
          <w:rFonts w:cs="Times New Roman (Cuerpo en alfa"/>
          <w:lang w:val="es-CO"/>
        </w:rPr>
        <w:t>ii</w:t>
      </w:r>
      <w:proofErr w:type="spellEnd"/>
      <w:r w:rsidR="00EF4CC6">
        <w:rPr>
          <w:rFonts w:cs="Times New Roman (Cuerpo en alfa"/>
          <w:lang w:val="es-CO"/>
        </w:rPr>
        <w:t>)</w:t>
      </w:r>
      <w:r w:rsidR="00303661">
        <w:rPr>
          <w:rFonts w:cs="Times New Roman (Cuerpo en alfa"/>
          <w:lang w:val="es-CO"/>
        </w:rPr>
        <w:t xml:space="preserve"> ajustado al tope</w:t>
      </w:r>
      <w:r w:rsidR="00EA4761">
        <w:rPr>
          <w:rFonts w:cs="Times New Roman (Cuerpo en alfa"/>
          <w:lang w:val="es-CO"/>
        </w:rPr>
        <w:t xml:space="preserve"> presupuestal. </w:t>
      </w:r>
      <w:r>
        <w:rPr>
          <w:rFonts w:cs="Times New Roman (Cuerpo en alfa"/>
          <w:lang w:val="es-CO"/>
        </w:rPr>
        <w:t xml:space="preserve">En todo caso, conscientes de la situación </w:t>
      </w:r>
      <w:r w:rsidR="00556753">
        <w:rPr>
          <w:rFonts w:cs="Times New Roman (Cuerpo en alfa"/>
          <w:lang w:val="es-CO"/>
        </w:rPr>
        <w:t xml:space="preserve">global por el COVID 19, también </w:t>
      </w:r>
      <w:r w:rsidR="00EF4CC6">
        <w:rPr>
          <w:rFonts w:cs="Times New Roman (Cuerpo en alfa"/>
          <w:lang w:val="es-CO"/>
        </w:rPr>
        <w:t>se presentan</w:t>
      </w:r>
      <w:r w:rsidR="00556753">
        <w:rPr>
          <w:rFonts w:cs="Times New Roman (Cuerpo en alfa"/>
          <w:lang w:val="es-CO"/>
        </w:rPr>
        <w:t xml:space="preserve"> diferentes escenarios a consideración del MHCP y el DNP a través de cu</w:t>
      </w:r>
      <w:r w:rsidR="00EF4CC6">
        <w:rPr>
          <w:rFonts w:cs="Times New Roman (Cuerpo en alfa"/>
          <w:lang w:val="es-CO"/>
        </w:rPr>
        <w:t>a</w:t>
      </w:r>
      <w:r w:rsidR="00556753">
        <w:rPr>
          <w:rFonts w:cs="Times New Roman (Cuerpo en alfa"/>
          <w:lang w:val="es-CO"/>
        </w:rPr>
        <w:t>les se podría cubrir las necesidades presupuestales</w:t>
      </w:r>
      <w:r w:rsidR="00C13338">
        <w:rPr>
          <w:rFonts w:cs="Times New Roman (Cuerpo en alfa"/>
          <w:lang w:val="es-CO"/>
        </w:rPr>
        <w:t xml:space="preserve"> de la </w:t>
      </w:r>
      <w:r w:rsidR="00EF4CC6">
        <w:rPr>
          <w:rFonts w:cs="Times New Roman (Cuerpo en alfa"/>
          <w:lang w:val="es-CO"/>
        </w:rPr>
        <w:t>J</w:t>
      </w:r>
      <w:r w:rsidR="00C13338">
        <w:rPr>
          <w:rFonts w:cs="Times New Roman (Cuerpo en alfa"/>
          <w:lang w:val="es-CO"/>
        </w:rPr>
        <w:t>urisdicción</w:t>
      </w:r>
      <w:r w:rsidR="00556753">
        <w:rPr>
          <w:rFonts w:cs="Times New Roman (Cuerpo en alfa"/>
          <w:lang w:val="es-CO"/>
        </w:rPr>
        <w:t>.</w:t>
      </w:r>
      <w:r w:rsidR="00D17556">
        <w:rPr>
          <w:rFonts w:cs="Times New Roman (Cuerpo en alfa"/>
          <w:lang w:val="es-CO"/>
        </w:rPr>
        <w:t xml:space="preserve"> Todo lo anterior, con especial atención a lo fijado en el artículo 110, numeral 5, de la </w:t>
      </w:r>
      <w:r w:rsidR="00D17556">
        <w:rPr>
          <w:color w:val="000000" w:themeColor="text1"/>
          <w:lang w:val="es-CO"/>
        </w:rPr>
        <w:t xml:space="preserve">Ley </w:t>
      </w:r>
      <w:r w:rsidR="00D17556" w:rsidRPr="00170D50">
        <w:rPr>
          <w:color w:val="000000" w:themeColor="text1"/>
          <w:lang w:val="es-CO"/>
        </w:rPr>
        <w:t>Estatutaria de la Administración de Justicia en la Jurisdicción Especial para la Paz</w:t>
      </w:r>
      <w:r w:rsidR="00D17556">
        <w:rPr>
          <w:color w:val="000000" w:themeColor="text1"/>
          <w:lang w:val="es-CO"/>
        </w:rPr>
        <w:t xml:space="preserve"> – 1957 de 2019</w:t>
      </w:r>
      <w:r w:rsidR="00D17556" w:rsidRPr="00E9734B">
        <w:rPr>
          <w:color w:val="000000" w:themeColor="text1"/>
          <w:lang w:val="es-CO"/>
        </w:rPr>
        <w:t>.</w:t>
      </w:r>
    </w:p>
    <w:p w14:paraId="4B46E9A1" w14:textId="251E5319" w:rsidR="00E82617" w:rsidRDefault="00E82617" w:rsidP="00DB3190">
      <w:pPr>
        <w:jc w:val="both"/>
        <w:rPr>
          <w:color w:val="000000" w:themeColor="text1"/>
          <w:lang w:val="es-CO"/>
        </w:rPr>
      </w:pPr>
    </w:p>
    <w:p w14:paraId="30B71DAA" w14:textId="77777777" w:rsidR="001B09A0" w:rsidRPr="00A61EA2" w:rsidRDefault="001B09A0" w:rsidP="00DB3190">
      <w:pPr>
        <w:jc w:val="both"/>
        <w:rPr>
          <w:rFonts w:cs="Times New Roman (Cuerpo en alfa"/>
          <w:lang w:val="es-CO"/>
        </w:rPr>
      </w:pPr>
    </w:p>
    <w:bookmarkStart w:id="2" w:name="_Toc509835304" w:displacedByCustomXml="next"/>
    <w:sdt>
      <w:sdtPr>
        <w:rPr>
          <w:rFonts w:ascii="Palatino Linotype" w:eastAsiaTheme="minorHAnsi" w:hAnsi="Palatino Linotype" w:cs="Times New Roman"/>
          <w:color w:val="000000" w:themeColor="text1"/>
          <w:sz w:val="24"/>
          <w:szCs w:val="24"/>
          <w:lang w:val="en-US" w:eastAsia="en-US"/>
        </w:rPr>
        <w:id w:val="-1987151353"/>
        <w:docPartObj>
          <w:docPartGallery w:val="Table of Contents"/>
          <w:docPartUnique/>
        </w:docPartObj>
      </w:sdtPr>
      <w:sdtEndPr>
        <w:rPr>
          <w:b/>
          <w:bCs/>
          <w:color w:val="auto"/>
        </w:rPr>
      </w:sdtEndPr>
      <w:sdtContent>
        <w:p w14:paraId="1B6B2089" w14:textId="77777777" w:rsidR="00DD7D20" w:rsidRPr="008B1EC6" w:rsidRDefault="00DD7D20" w:rsidP="00DB3190">
          <w:pPr>
            <w:pStyle w:val="TtuloTDC"/>
            <w:spacing w:before="0" w:line="240" w:lineRule="auto"/>
            <w:rPr>
              <w:rFonts w:ascii="Palatino Linotype" w:hAnsi="Palatino Linotype"/>
              <w:color w:val="000000" w:themeColor="text1"/>
              <w:sz w:val="24"/>
              <w:szCs w:val="24"/>
            </w:rPr>
          </w:pPr>
        </w:p>
        <w:p w14:paraId="6680C533" w14:textId="77777777" w:rsidR="00DD7D20" w:rsidRPr="008B1EC6" w:rsidRDefault="00DD7D20" w:rsidP="00DB3190">
          <w:pPr>
            <w:pStyle w:val="TtuloTDC"/>
            <w:spacing w:before="0" w:line="240" w:lineRule="auto"/>
            <w:rPr>
              <w:rFonts w:ascii="Palatino Linotype" w:hAnsi="Palatino Linotype"/>
              <w:color w:val="000000" w:themeColor="text1"/>
              <w:sz w:val="24"/>
              <w:szCs w:val="24"/>
            </w:rPr>
          </w:pPr>
        </w:p>
        <w:p w14:paraId="04A11141" w14:textId="77777777" w:rsidR="00DD7D20" w:rsidRPr="008B1EC6" w:rsidRDefault="00DD7D20" w:rsidP="00DB3190">
          <w:pPr>
            <w:pStyle w:val="TtuloTDC"/>
            <w:spacing w:before="0" w:line="240" w:lineRule="auto"/>
            <w:rPr>
              <w:rFonts w:ascii="Palatino Linotype" w:hAnsi="Palatino Linotype"/>
              <w:color w:val="000000" w:themeColor="text1"/>
              <w:sz w:val="24"/>
              <w:szCs w:val="24"/>
            </w:rPr>
          </w:pPr>
        </w:p>
        <w:p w14:paraId="023A2772" w14:textId="77777777" w:rsidR="00DD7D20" w:rsidRPr="008B1EC6" w:rsidRDefault="00DD7D20" w:rsidP="00DB3190">
          <w:pPr>
            <w:pStyle w:val="TtuloTDC"/>
            <w:spacing w:before="0" w:line="240" w:lineRule="auto"/>
            <w:rPr>
              <w:rFonts w:ascii="Palatino Linotype" w:hAnsi="Palatino Linotype"/>
              <w:color w:val="000000" w:themeColor="text1"/>
              <w:sz w:val="24"/>
              <w:szCs w:val="24"/>
            </w:rPr>
          </w:pPr>
        </w:p>
        <w:p w14:paraId="0A927FEE" w14:textId="77777777" w:rsidR="005026CB" w:rsidRPr="008B1EC6" w:rsidRDefault="005026CB" w:rsidP="00DB3190">
          <w:pPr>
            <w:rPr>
              <w:rFonts w:eastAsiaTheme="majorEastAsia" w:cstheme="majorBidi"/>
              <w:b/>
              <w:color w:val="000000" w:themeColor="text1"/>
              <w:lang w:val="es-CO" w:eastAsia="es-CO"/>
            </w:rPr>
          </w:pPr>
          <w:r w:rsidRPr="008B1EC6">
            <w:rPr>
              <w:b/>
              <w:color w:val="000000" w:themeColor="text1"/>
            </w:rPr>
            <w:br w:type="page"/>
          </w:r>
        </w:p>
        <w:p w14:paraId="1356B0B1" w14:textId="6BC5491B" w:rsidR="00DD7D20" w:rsidRPr="008B1EC6" w:rsidRDefault="00DD7D20" w:rsidP="00DB3190">
          <w:pPr>
            <w:pStyle w:val="TtuloTDC"/>
            <w:spacing w:before="0" w:line="240" w:lineRule="auto"/>
            <w:rPr>
              <w:rFonts w:ascii="Palatino Linotype" w:hAnsi="Palatino Linotype"/>
              <w:b/>
              <w:color w:val="000000" w:themeColor="text1"/>
              <w:sz w:val="24"/>
              <w:szCs w:val="24"/>
            </w:rPr>
          </w:pPr>
          <w:r w:rsidRPr="008B1EC6">
            <w:rPr>
              <w:rFonts w:ascii="Palatino Linotype" w:hAnsi="Palatino Linotype"/>
              <w:b/>
              <w:color w:val="000000" w:themeColor="text1"/>
              <w:sz w:val="24"/>
              <w:szCs w:val="24"/>
            </w:rPr>
            <w:lastRenderedPageBreak/>
            <w:t>Contenido</w:t>
          </w:r>
        </w:p>
        <w:p w14:paraId="3E1F8CBE" w14:textId="77777777" w:rsidR="00C7540A" w:rsidRPr="008B1EC6" w:rsidRDefault="00C7540A" w:rsidP="00DB3190">
          <w:pPr>
            <w:rPr>
              <w:color w:val="000000" w:themeColor="text1"/>
              <w:lang w:val="es-CO" w:eastAsia="es-CO"/>
            </w:rPr>
          </w:pPr>
        </w:p>
        <w:p w14:paraId="7D84F8FA" w14:textId="77777777" w:rsidR="00B44156" w:rsidRPr="008B1EC6" w:rsidRDefault="00B44156" w:rsidP="00DB3190">
          <w:pPr>
            <w:rPr>
              <w:color w:val="000000" w:themeColor="text1"/>
              <w:lang w:val="es-CO" w:eastAsia="es-CO"/>
            </w:rPr>
          </w:pPr>
        </w:p>
        <w:p w14:paraId="37575FBA" w14:textId="77777777" w:rsidR="00303661" w:rsidRDefault="00863D18" w:rsidP="00DB3190">
          <w:pPr>
            <w:pStyle w:val="TDC1"/>
            <w:rPr>
              <w:rFonts w:asciiTheme="minorHAnsi" w:eastAsiaTheme="minorEastAsia" w:hAnsiTheme="minorHAnsi" w:cstheme="minorBidi"/>
              <w:noProof/>
              <w:sz w:val="22"/>
              <w:szCs w:val="22"/>
              <w:lang w:val="es-CO" w:eastAsia="es-CO"/>
            </w:rPr>
          </w:pPr>
          <w:r w:rsidRPr="008B1EC6">
            <w:rPr>
              <w:b/>
              <w:bCs/>
              <w:color w:val="000000" w:themeColor="text1"/>
              <w:lang w:val="es-CO"/>
            </w:rPr>
            <w:fldChar w:fldCharType="begin"/>
          </w:r>
          <w:r w:rsidRPr="008B1EC6">
            <w:rPr>
              <w:b/>
              <w:bCs/>
              <w:color w:val="000000" w:themeColor="text1"/>
              <w:lang w:val="es-CO"/>
            </w:rPr>
            <w:instrText xml:space="preserve"> TOC \o "1-4" \h \z \u </w:instrText>
          </w:r>
          <w:r w:rsidRPr="008B1EC6">
            <w:rPr>
              <w:b/>
              <w:bCs/>
              <w:color w:val="000000" w:themeColor="text1"/>
              <w:lang w:val="es-CO"/>
            </w:rPr>
            <w:fldChar w:fldCharType="separate"/>
          </w:r>
          <w:hyperlink w:anchor="_Toc36031106" w:history="1">
            <w:r w:rsidR="00303661" w:rsidRPr="00DE3766">
              <w:rPr>
                <w:rStyle w:val="Hipervnculo"/>
                <w:rFonts w:cs="Times New Roman (Títulos en alf"/>
                <w:noProof/>
                <w:lang w:val="es-CO"/>
              </w:rPr>
              <w:t>PRESENTACIÓN</w:t>
            </w:r>
            <w:r w:rsidR="00303661">
              <w:rPr>
                <w:noProof/>
                <w:webHidden/>
              </w:rPr>
              <w:tab/>
            </w:r>
            <w:r w:rsidR="00303661">
              <w:rPr>
                <w:noProof/>
                <w:webHidden/>
              </w:rPr>
              <w:fldChar w:fldCharType="begin"/>
            </w:r>
            <w:r w:rsidR="00303661">
              <w:rPr>
                <w:noProof/>
                <w:webHidden/>
              </w:rPr>
              <w:instrText xml:space="preserve"> PAGEREF _Toc36031106 \h </w:instrText>
            </w:r>
            <w:r w:rsidR="00303661">
              <w:rPr>
                <w:noProof/>
                <w:webHidden/>
              </w:rPr>
            </w:r>
            <w:r w:rsidR="00303661">
              <w:rPr>
                <w:noProof/>
                <w:webHidden/>
              </w:rPr>
              <w:fldChar w:fldCharType="separate"/>
            </w:r>
            <w:r w:rsidR="00FE4EBE">
              <w:rPr>
                <w:noProof/>
                <w:webHidden/>
              </w:rPr>
              <w:t>2</w:t>
            </w:r>
            <w:r w:rsidR="00303661">
              <w:rPr>
                <w:noProof/>
                <w:webHidden/>
              </w:rPr>
              <w:fldChar w:fldCharType="end"/>
            </w:r>
          </w:hyperlink>
        </w:p>
        <w:p w14:paraId="40568400" w14:textId="77777777" w:rsidR="00C65FCB" w:rsidRDefault="00C65FCB" w:rsidP="00DB3190">
          <w:pPr>
            <w:pStyle w:val="TDC1"/>
            <w:rPr>
              <w:rStyle w:val="Hipervnculo"/>
              <w:noProof/>
            </w:rPr>
          </w:pPr>
        </w:p>
        <w:p w14:paraId="2E002B07" w14:textId="77777777" w:rsidR="00303661" w:rsidRDefault="00B9097B" w:rsidP="00DB3190">
          <w:pPr>
            <w:pStyle w:val="TDC1"/>
            <w:rPr>
              <w:rFonts w:asciiTheme="minorHAnsi" w:eastAsiaTheme="minorEastAsia" w:hAnsiTheme="minorHAnsi" w:cstheme="minorBidi"/>
              <w:noProof/>
              <w:sz w:val="22"/>
              <w:szCs w:val="22"/>
              <w:lang w:val="es-CO" w:eastAsia="es-CO"/>
            </w:rPr>
          </w:pPr>
          <w:hyperlink w:anchor="_Toc36031107" w:history="1">
            <w:r w:rsidR="00303661" w:rsidRPr="00DE3766">
              <w:rPr>
                <w:rStyle w:val="Hipervnculo"/>
                <w:rFonts w:cs="Times New Roman (Títulos en alf"/>
                <w:noProof/>
                <w:lang w:val="es-CO"/>
              </w:rPr>
              <w:t>1.</w:t>
            </w:r>
            <w:r w:rsidR="00303661">
              <w:rPr>
                <w:rFonts w:asciiTheme="minorHAnsi" w:eastAsiaTheme="minorEastAsia" w:hAnsiTheme="minorHAnsi" w:cstheme="minorBidi"/>
                <w:noProof/>
                <w:sz w:val="22"/>
                <w:szCs w:val="22"/>
                <w:lang w:val="es-CO" w:eastAsia="es-CO"/>
              </w:rPr>
              <w:tab/>
            </w:r>
            <w:r w:rsidR="00303661" w:rsidRPr="00DE3766">
              <w:rPr>
                <w:rStyle w:val="Hipervnculo"/>
                <w:rFonts w:cs="Times New Roman (Títulos en alf"/>
                <w:noProof/>
                <w:lang w:val="es-CO"/>
              </w:rPr>
              <w:t>MARCO NORMATIVO</w:t>
            </w:r>
            <w:r w:rsidR="00303661">
              <w:rPr>
                <w:noProof/>
                <w:webHidden/>
              </w:rPr>
              <w:tab/>
            </w:r>
            <w:r w:rsidR="00303661">
              <w:rPr>
                <w:noProof/>
                <w:webHidden/>
              </w:rPr>
              <w:fldChar w:fldCharType="begin"/>
            </w:r>
            <w:r w:rsidR="00303661">
              <w:rPr>
                <w:noProof/>
                <w:webHidden/>
              </w:rPr>
              <w:instrText xml:space="preserve"> PAGEREF _Toc36031107 \h </w:instrText>
            </w:r>
            <w:r w:rsidR="00303661">
              <w:rPr>
                <w:noProof/>
                <w:webHidden/>
              </w:rPr>
            </w:r>
            <w:r w:rsidR="00303661">
              <w:rPr>
                <w:noProof/>
                <w:webHidden/>
              </w:rPr>
              <w:fldChar w:fldCharType="separate"/>
            </w:r>
            <w:r w:rsidR="00FE4EBE">
              <w:rPr>
                <w:noProof/>
                <w:webHidden/>
              </w:rPr>
              <w:t>4</w:t>
            </w:r>
            <w:r w:rsidR="00303661">
              <w:rPr>
                <w:noProof/>
                <w:webHidden/>
              </w:rPr>
              <w:fldChar w:fldCharType="end"/>
            </w:r>
          </w:hyperlink>
        </w:p>
        <w:p w14:paraId="5212C05A" w14:textId="77777777" w:rsidR="00C65FCB" w:rsidRDefault="00C65FCB" w:rsidP="00DB3190">
          <w:pPr>
            <w:pStyle w:val="TDC1"/>
            <w:rPr>
              <w:rStyle w:val="Hipervnculo"/>
              <w:noProof/>
            </w:rPr>
          </w:pPr>
        </w:p>
        <w:p w14:paraId="577F77D2" w14:textId="77777777" w:rsidR="00303661" w:rsidRDefault="00B9097B" w:rsidP="00DB3190">
          <w:pPr>
            <w:pStyle w:val="TDC1"/>
            <w:rPr>
              <w:rFonts w:asciiTheme="minorHAnsi" w:eastAsiaTheme="minorEastAsia" w:hAnsiTheme="minorHAnsi" w:cstheme="minorBidi"/>
              <w:noProof/>
              <w:sz w:val="22"/>
              <w:szCs w:val="22"/>
              <w:lang w:val="es-CO" w:eastAsia="es-CO"/>
            </w:rPr>
          </w:pPr>
          <w:hyperlink w:anchor="_Toc36031108" w:history="1">
            <w:r w:rsidR="00303661" w:rsidRPr="00DE3766">
              <w:rPr>
                <w:rStyle w:val="Hipervnculo"/>
                <w:rFonts w:cs="Times New Roman (Títulos en alf"/>
                <w:noProof/>
                <w:lang w:val="es-CO"/>
              </w:rPr>
              <w:t>2.</w:t>
            </w:r>
            <w:r w:rsidR="00303661">
              <w:rPr>
                <w:rFonts w:asciiTheme="minorHAnsi" w:eastAsiaTheme="minorEastAsia" w:hAnsiTheme="minorHAnsi" w:cstheme="minorBidi"/>
                <w:noProof/>
                <w:sz w:val="22"/>
                <w:szCs w:val="22"/>
                <w:lang w:val="es-CO" w:eastAsia="es-CO"/>
              </w:rPr>
              <w:tab/>
            </w:r>
            <w:r w:rsidR="00303661" w:rsidRPr="00DE3766">
              <w:rPr>
                <w:rStyle w:val="Hipervnculo"/>
                <w:rFonts w:cs="Times New Roman (Títulos en alf"/>
                <w:noProof/>
                <w:lang w:val="es-CO"/>
              </w:rPr>
              <w:t>PLATAFORMA ESTRATÉGICA</w:t>
            </w:r>
            <w:r w:rsidR="00303661">
              <w:rPr>
                <w:noProof/>
                <w:webHidden/>
              </w:rPr>
              <w:tab/>
            </w:r>
            <w:r w:rsidR="00303661">
              <w:rPr>
                <w:noProof/>
                <w:webHidden/>
              </w:rPr>
              <w:fldChar w:fldCharType="begin"/>
            </w:r>
            <w:r w:rsidR="00303661">
              <w:rPr>
                <w:noProof/>
                <w:webHidden/>
              </w:rPr>
              <w:instrText xml:space="preserve"> PAGEREF _Toc36031108 \h </w:instrText>
            </w:r>
            <w:r w:rsidR="00303661">
              <w:rPr>
                <w:noProof/>
                <w:webHidden/>
              </w:rPr>
            </w:r>
            <w:r w:rsidR="00303661">
              <w:rPr>
                <w:noProof/>
                <w:webHidden/>
              </w:rPr>
              <w:fldChar w:fldCharType="separate"/>
            </w:r>
            <w:r w:rsidR="00FE4EBE">
              <w:rPr>
                <w:noProof/>
                <w:webHidden/>
              </w:rPr>
              <w:t>5</w:t>
            </w:r>
            <w:r w:rsidR="00303661">
              <w:rPr>
                <w:noProof/>
                <w:webHidden/>
              </w:rPr>
              <w:fldChar w:fldCharType="end"/>
            </w:r>
          </w:hyperlink>
        </w:p>
        <w:p w14:paraId="502489AE"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09" w:history="1">
            <w:r w:rsidR="00303661" w:rsidRPr="00DE3766">
              <w:rPr>
                <w:rStyle w:val="Hipervnculo"/>
                <w:noProof/>
                <w:lang w:val="es-CO"/>
              </w:rPr>
              <w:t>2.1</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MISIÓN</w:t>
            </w:r>
            <w:r w:rsidR="00303661">
              <w:rPr>
                <w:noProof/>
                <w:webHidden/>
              </w:rPr>
              <w:tab/>
            </w:r>
            <w:r w:rsidR="00303661">
              <w:rPr>
                <w:noProof/>
                <w:webHidden/>
              </w:rPr>
              <w:fldChar w:fldCharType="begin"/>
            </w:r>
            <w:r w:rsidR="00303661">
              <w:rPr>
                <w:noProof/>
                <w:webHidden/>
              </w:rPr>
              <w:instrText xml:space="preserve"> PAGEREF _Toc36031109 \h </w:instrText>
            </w:r>
            <w:r w:rsidR="00303661">
              <w:rPr>
                <w:noProof/>
                <w:webHidden/>
              </w:rPr>
            </w:r>
            <w:r w:rsidR="00303661">
              <w:rPr>
                <w:noProof/>
                <w:webHidden/>
              </w:rPr>
              <w:fldChar w:fldCharType="separate"/>
            </w:r>
            <w:r w:rsidR="00FE4EBE">
              <w:rPr>
                <w:noProof/>
                <w:webHidden/>
              </w:rPr>
              <w:t>5</w:t>
            </w:r>
            <w:r w:rsidR="00303661">
              <w:rPr>
                <w:noProof/>
                <w:webHidden/>
              </w:rPr>
              <w:fldChar w:fldCharType="end"/>
            </w:r>
          </w:hyperlink>
        </w:p>
        <w:p w14:paraId="24C2C29C"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10" w:history="1">
            <w:r w:rsidR="00303661" w:rsidRPr="00DE3766">
              <w:rPr>
                <w:rStyle w:val="Hipervnculo"/>
                <w:noProof/>
                <w:lang w:val="es-CO"/>
              </w:rPr>
              <w:t>2.2</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VISIÓN</w:t>
            </w:r>
            <w:r w:rsidR="00303661">
              <w:rPr>
                <w:noProof/>
                <w:webHidden/>
              </w:rPr>
              <w:tab/>
            </w:r>
            <w:r w:rsidR="00303661">
              <w:rPr>
                <w:noProof/>
                <w:webHidden/>
              </w:rPr>
              <w:fldChar w:fldCharType="begin"/>
            </w:r>
            <w:r w:rsidR="00303661">
              <w:rPr>
                <w:noProof/>
                <w:webHidden/>
              </w:rPr>
              <w:instrText xml:space="preserve"> PAGEREF _Toc36031110 \h </w:instrText>
            </w:r>
            <w:r w:rsidR="00303661">
              <w:rPr>
                <w:noProof/>
                <w:webHidden/>
              </w:rPr>
            </w:r>
            <w:r w:rsidR="00303661">
              <w:rPr>
                <w:noProof/>
                <w:webHidden/>
              </w:rPr>
              <w:fldChar w:fldCharType="separate"/>
            </w:r>
            <w:r w:rsidR="00FE4EBE">
              <w:rPr>
                <w:noProof/>
                <w:webHidden/>
              </w:rPr>
              <w:t>5</w:t>
            </w:r>
            <w:r w:rsidR="00303661">
              <w:rPr>
                <w:noProof/>
                <w:webHidden/>
              </w:rPr>
              <w:fldChar w:fldCharType="end"/>
            </w:r>
          </w:hyperlink>
        </w:p>
        <w:p w14:paraId="5EB0B1D0"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11" w:history="1">
            <w:r w:rsidR="00303661" w:rsidRPr="00DE3766">
              <w:rPr>
                <w:rStyle w:val="Hipervnculo"/>
                <w:noProof/>
                <w:lang w:val="es-CO"/>
              </w:rPr>
              <w:t>2.3</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OBJETIVOS ESTRATÉGICOS</w:t>
            </w:r>
            <w:r w:rsidR="00303661">
              <w:rPr>
                <w:noProof/>
                <w:webHidden/>
              </w:rPr>
              <w:tab/>
            </w:r>
            <w:r w:rsidR="00303661">
              <w:rPr>
                <w:noProof/>
                <w:webHidden/>
              </w:rPr>
              <w:fldChar w:fldCharType="begin"/>
            </w:r>
            <w:r w:rsidR="00303661">
              <w:rPr>
                <w:noProof/>
                <w:webHidden/>
              </w:rPr>
              <w:instrText xml:space="preserve"> PAGEREF _Toc36031111 \h </w:instrText>
            </w:r>
            <w:r w:rsidR="00303661">
              <w:rPr>
                <w:noProof/>
                <w:webHidden/>
              </w:rPr>
            </w:r>
            <w:r w:rsidR="00303661">
              <w:rPr>
                <w:noProof/>
                <w:webHidden/>
              </w:rPr>
              <w:fldChar w:fldCharType="separate"/>
            </w:r>
            <w:r w:rsidR="00FE4EBE">
              <w:rPr>
                <w:noProof/>
                <w:webHidden/>
              </w:rPr>
              <w:t>6</w:t>
            </w:r>
            <w:r w:rsidR="00303661">
              <w:rPr>
                <w:noProof/>
                <w:webHidden/>
              </w:rPr>
              <w:fldChar w:fldCharType="end"/>
            </w:r>
          </w:hyperlink>
        </w:p>
        <w:p w14:paraId="346A1A0F" w14:textId="77777777" w:rsidR="00C65FCB" w:rsidRDefault="00C65FCB" w:rsidP="00DB3190">
          <w:pPr>
            <w:pStyle w:val="TDC1"/>
            <w:rPr>
              <w:rStyle w:val="Hipervnculo"/>
              <w:noProof/>
            </w:rPr>
          </w:pPr>
        </w:p>
        <w:p w14:paraId="3BA25BEB" w14:textId="77777777" w:rsidR="00303661" w:rsidRDefault="00B9097B" w:rsidP="00DB3190">
          <w:pPr>
            <w:pStyle w:val="TDC1"/>
            <w:rPr>
              <w:rFonts w:asciiTheme="minorHAnsi" w:eastAsiaTheme="minorEastAsia" w:hAnsiTheme="minorHAnsi" w:cstheme="minorBidi"/>
              <w:noProof/>
              <w:sz w:val="22"/>
              <w:szCs w:val="22"/>
              <w:lang w:val="es-CO" w:eastAsia="es-CO"/>
            </w:rPr>
          </w:pPr>
          <w:hyperlink w:anchor="_Toc36031112" w:history="1">
            <w:r w:rsidR="00303661" w:rsidRPr="00DE3766">
              <w:rPr>
                <w:rStyle w:val="Hipervnculo"/>
                <w:noProof/>
                <w:lang w:val="es-CO"/>
              </w:rPr>
              <w:t>3.</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ANÁLISIS DE PROSPECTIVA CON VISIÓN A 2033</w:t>
            </w:r>
            <w:r w:rsidR="00303661">
              <w:rPr>
                <w:noProof/>
                <w:webHidden/>
              </w:rPr>
              <w:tab/>
            </w:r>
            <w:r w:rsidR="00303661">
              <w:rPr>
                <w:noProof/>
                <w:webHidden/>
              </w:rPr>
              <w:fldChar w:fldCharType="begin"/>
            </w:r>
            <w:r w:rsidR="00303661">
              <w:rPr>
                <w:noProof/>
                <w:webHidden/>
              </w:rPr>
              <w:instrText xml:space="preserve"> PAGEREF _Toc36031112 \h </w:instrText>
            </w:r>
            <w:r w:rsidR="00303661">
              <w:rPr>
                <w:noProof/>
                <w:webHidden/>
              </w:rPr>
            </w:r>
            <w:r w:rsidR="00303661">
              <w:rPr>
                <w:noProof/>
                <w:webHidden/>
              </w:rPr>
              <w:fldChar w:fldCharType="separate"/>
            </w:r>
            <w:r w:rsidR="00FE4EBE">
              <w:rPr>
                <w:noProof/>
                <w:webHidden/>
              </w:rPr>
              <w:t>13</w:t>
            </w:r>
            <w:r w:rsidR="00303661">
              <w:rPr>
                <w:noProof/>
                <w:webHidden/>
              </w:rPr>
              <w:fldChar w:fldCharType="end"/>
            </w:r>
          </w:hyperlink>
        </w:p>
        <w:p w14:paraId="6576715C" w14:textId="77777777" w:rsidR="00C65FCB" w:rsidRDefault="00C65FCB" w:rsidP="00DB3190">
          <w:pPr>
            <w:pStyle w:val="TDC1"/>
            <w:rPr>
              <w:rStyle w:val="Hipervnculo"/>
              <w:noProof/>
            </w:rPr>
          </w:pPr>
        </w:p>
        <w:p w14:paraId="5EAD1AAA" w14:textId="77777777" w:rsidR="00303661" w:rsidRDefault="00B9097B" w:rsidP="00DB3190">
          <w:pPr>
            <w:pStyle w:val="TDC1"/>
            <w:rPr>
              <w:rFonts w:asciiTheme="minorHAnsi" w:eastAsiaTheme="minorEastAsia" w:hAnsiTheme="minorHAnsi" w:cstheme="minorBidi"/>
              <w:noProof/>
              <w:sz w:val="22"/>
              <w:szCs w:val="22"/>
              <w:lang w:val="es-CO" w:eastAsia="es-CO"/>
            </w:rPr>
          </w:pPr>
          <w:hyperlink w:anchor="_Toc36031113" w:history="1">
            <w:r w:rsidR="00303661" w:rsidRPr="00DE3766">
              <w:rPr>
                <w:rStyle w:val="Hipervnculo"/>
                <w:noProof/>
                <w:lang w:val="es-CO"/>
              </w:rPr>
              <w:t>4.</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GESTIÓN PRESUPUESTAL</w:t>
            </w:r>
            <w:r w:rsidR="00303661">
              <w:rPr>
                <w:noProof/>
                <w:webHidden/>
              </w:rPr>
              <w:tab/>
            </w:r>
            <w:r w:rsidR="00303661">
              <w:rPr>
                <w:noProof/>
                <w:webHidden/>
              </w:rPr>
              <w:fldChar w:fldCharType="begin"/>
            </w:r>
            <w:r w:rsidR="00303661">
              <w:rPr>
                <w:noProof/>
                <w:webHidden/>
              </w:rPr>
              <w:instrText xml:space="preserve"> PAGEREF _Toc36031113 \h </w:instrText>
            </w:r>
            <w:r w:rsidR="00303661">
              <w:rPr>
                <w:noProof/>
                <w:webHidden/>
              </w:rPr>
            </w:r>
            <w:r w:rsidR="00303661">
              <w:rPr>
                <w:noProof/>
                <w:webHidden/>
              </w:rPr>
              <w:fldChar w:fldCharType="separate"/>
            </w:r>
            <w:r w:rsidR="00FE4EBE">
              <w:rPr>
                <w:noProof/>
                <w:webHidden/>
              </w:rPr>
              <w:t>19</w:t>
            </w:r>
            <w:r w:rsidR="00303661">
              <w:rPr>
                <w:noProof/>
                <w:webHidden/>
              </w:rPr>
              <w:fldChar w:fldCharType="end"/>
            </w:r>
          </w:hyperlink>
        </w:p>
        <w:p w14:paraId="31E4D2DC"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14" w:history="1">
            <w:r w:rsidR="00303661" w:rsidRPr="00DE3766">
              <w:rPr>
                <w:rStyle w:val="Hipervnculo"/>
                <w:noProof/>
                <w:lang w:val="es-CO"/>
              </w:rPr>
              <w:t>4.1.</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COMPORTAMIENTO PRESUPUESTAL 2018 - 2020</w:t>
            </w:r>
            <w:r w:rsidR="00303661">
              <w:rPr>
                <w:noProof/>
                <w:webHidden/>
              </w:rPr>
              <w:tab/>
            </w:r>
            <w:r w:rsidR="00303661">
              <w:rPr>
                <w:noProof/>
                <w:webHidden/>
              </w:rPr>
              <w:fldChar w:fldCharType="begin"/>
            </w:r>
            <w:r w:rsidR="00303661">
              <w:rPr>
                <w:noProof/>
                <w:webHidden/>
              </w:rPr>
              <w:instrText xml:space="preserve"> PAGEREF _Toc36031114 \h </w:instrText>
            </w:r>
            <w:r w:rsidR="00303661">
              <w:rPr>
                <w:noProof/>
                <w:webHidden/>
              </w:rPr>
            </w:r>
            <w:r w:rsidR="00303661">
              <w:rPr>
                <w:noProof/>
                <w:webHidden/>
              </w:rPr>
              <w:fldChar w:fldCharType="separate"/>
            </w:r>
            <w:r w:rsidR="00FE4EBE">
              <w:rPr>
                <w:noProof/>
                <w:webHidden/>
              </w:rPr>
              <w:t>19</w:t>
            </w:r>
            <w:r w:rsidR="00303661">
              <w:rPr>
                <w:noProof/>
                <w:webHidden/>
              </w:rPr>
              <w:fldChar w:fldCharType="end"/>
            </w:r>
          </w:hyperlink>
        </w:p>
        <w:p w14:paraId="327A195D"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15" w:history="1">
            <w:r w:rsidR="00303661" w:rsidRPr="00DE3766">
              <w:rPr>
                <w:rStyle w:val="Hipervnculo"/>
                <w:noProof/>
                <w:lang w:val="es-CO"/>
              </w:rPr>
              <w:t>4.2.</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NECESIDADES PRESUPUESTALES 2021</w:t>
            </w:r>
            <w:r w:rsidR="00303661">
              <w:rPr>
                <w:noProof/>
                <w:webHidden/>
              </w:rPr>
              <w:tab/>
            </w:r>
            <w:r w:rsidR="00303661">
              <w:rPr>
                <w:noProof/>
                <w:webHidden/>
              </w:rPr>
              <w:fldChar w:fldCharType="begin"/>
            </w:r>
            <w:r w:rsidR="00303661">
              <w:rPr>
                <w:noProof/>
                <w:webHidden/>
              </w:rPr>
              <w:instrText xml:space="preserve"> PAGEREF _Toc36031115 \h </w:instrText>
            </w:r>
            <w:r w:rsidR="00303661">
              <w:rPr>
                <w:noProof/>
                <w:webHidden/>
              </w:rPr>
            </w:r>
            <w:r w:rsidR="00303661">
              <w:rPr>
                <w:noProof/>
                <w:webHidden/>
              </w:rPr>
              <w:fldChar w:fldCharType="separate"/>
            </w:r>
            <w:r w:rsidR="00FE4EBE">
              <w:rPr>
                <w:noProof/>
                <w:webHidden/>
              </w:rPr>
              <w:t>21</w:t>
            </w:r>
            <w:r w:rsidR="00303661">
              <w:rPr>
                <w:noProof/>
                <w:webHidden/>
              </w:rPr>
              <w:fldChar w:fldCharType="end"/>
            </w:r>
          </w:hyperlink>
        </w:p>
        <w:p w14:paraId="112BDDA7" w14:textId="77777777" w:rsidR="00303661" w:rsidRDefault="00B9097B" w:rsidP="00DB3190">
          <w:pPr>
            <w:pStyle w:val="TDC3"/>
            <w:tabs>
              <w:tab w:val="left" w:pos="1320"/>
              <w:tab w:val="right" w:leader="dot" w:pos="9168"/>
            </w:tabs>
            <w:spacing w:after="0"/>
            <w:rPr>
              <w:rFonts w:asciiTheme="minorHAnsi" w:eastAsiaTheme="minorEastAsia" w:hAnsiTheme="minorHAnsi" w:cstheme="minorBidi"/>
              <w:noProof/>
              <w:sz w:val="22"/>
              <w:szCs w:val="22"/>
              <w:lang w:val="es-CO" w:eastAsia="es-CO"/>
            </w:rPr>
          </w:pPr>
          <w:hyperlink w:anchor="_Toc36031116" w:history="1">
            <w:r w:rsidR="00303661" w:rsidRPr="00DE3766">
              <w:rPr>
                <w:rStyle w:val="Hipervnculo"/>
                <w:noProof/>
                <w:lang w:val="es-CO"/>
              </w:rPr>
              <w:t>4.2.1.</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Presupuesto de funcionamiento 2021</w:t>
            </w:r>
            <w:r w:rsidR="00303661">
              <w:rPr>
                <w:noProof/>
                <w:webHidden/>
              </w:rPr>
              <w:tab/>
            </w:r>
            <w:r w:rsidR="00303661">
              <w:rPr>
                <w:noProof/>
                <w:webHidden/>
              </w:rPr>
              <w:fldChar w:fldCharType="begin"/>
            </w:r>
            <w:r w:rsidR="00303661">
              <w:rPr>
                <w:noProof/>
                <w:webHidden/>
              </w:rPr>
              <w:instrText xml:space="preserve"> PAGEREF _Toc36031116 \h </w:instrText>
            </w:r>
            <w:r w:rsidR="00303661">
              <w:rPr>
                <w:noProof/>
                <w:webHidden/>
              </w:rPr>
            </w:r>
            <w:r w:rsidR="00303661">
              <w:rPr>
                <w:noProof/>
                <w:webHidden/>
              </w:rPr>
              <w:fldChar w:fldCharType="separate"/>
            </w:r>
            <w:r w:rsidR="00FE4EBE">
              <w:rPr>
                <w:noProof/>
                <w:webHidden/>
              </w:rPr>
              <w:t>21</w:t>
            </w:r>
            <w:r w:rsidR="00303661">
              <w:rPr>
                <w:noProof/>
                <w:webHidden/>
              </w:rPr>
              <w:fldChar w:fldCharType="end"/>
            </w:r>
          </w:hyperlink>
        </w:p>
        <w:p w14:paraId="5AE3137A" w14:textId="77777777" w:rsidR="00303661" w:rsidRDefault="00B9097B" w:rsidP="00DB3190">
          <w:pPr>
            <w:pStyle w:val="TDC4"/>
            <w:tabs>
              <w:tab w:val="left" w:pos="1100"/>
              <w:tab w:val="right" w:leader="dot" w:pos="9168"/>
            </w:tabs>
            <w:spacing w:after="0"/>
            <w:rPr>
              <w:rFonts w:asciiTheme="minorHAnsi" w:eastAsiaTheme="minorEastAsia" w:hAnsiTheme="minorHAnsi" w:cstheme="minorBidi"/>
              <w:noProof/>
              <w:sz w:val="22"/>
              <w:szCs w:val="22"/>
              <w:lang w:val="es-CO" w:eastAsia="es-CO"/>
            </w:rPr>
          </w:pPr>
          <w:hyperlink w:anchor="_Toc36031117" w:history="1">
            <w:r w:rsidR="00303661" w:rsidRPr="00DE3766">
              <w:rPr>
                <w:rStyle w:val="Hipervnculo"/>
                <w:noProof/>
              </w:rPr>
              <w:t>i.</w:t>
            </w:r>
            <w:r w:rsidR="00303661">
              <w:rPr>
                <w:rFonts w:asciiTheme="minorHAnsi" w:eastAsiaTheme="minorEastAsia" w:hAnsiTheme="minorHAnsi" w:cstheme="minorBidi"/>
                <w:noProof/>
                <w:sz w:val="22"/>
                <w:szCs w:val="22"/>
                <w:lang w:val="es-CO" w:eastAsia="es-CO"/>
              </w:rPr>
              <w:tab/>
            </w:r>
            <w:r w:rsidR="00303661" w:rsidRPr="00DE3766">
              <w:rPr>
                <w:rStyle w:val="Hipervnculo"/>
                <w:noProof/>
              </w:rPr>
              <w:t>Gastos de personal</w:t>
            </w:r>
            <w:r w:rsidR="00303661">
              <w:rPr>
                <w:noProof/>
                <w:webHidden/>
              </w:rPr>
              <w:tab/>
            </w:r>
            <w:r w:rsidR="00303661">
              <w:rPr>
                <w:noProof/>
                <w:webHidden/>
              </w:rPr>
              <w:fldChar w:fldCharType="begin"/>
            </w:r>
            <w:r w:rsidR="00303661">
              <w:rPr>
                <w:noProof/>
                <w:webHidden/>
              </w:rPr>
              <w:instrText xml:space="preserve"> PAGEREF _Toc36031117 \h </w:instrText>
            </w:r>
            <w:r w:rsidR="00303661">
              <w:rPr>
                <w:noProof/>
                <w:webHidden/>
              </w:rPr>
            </w:r>
            <w:r w:rsidR="00303661">
              <w:rPr>
                <w:noProof/>
                <w:webHidden/>
              </w:rPr>
              <w:fldChar w:fldCharType="separate"/>
            </w:r>
            <w:r w:rsidR="00FE4EBE">
              <w:rPr>
                <w:noProof/>
                <w:webHidden/>
              </w:rPr>
              <w:t>22</w:t>
            </w:r>
            <w:r w:rsidR="00303661">
              <w:rPr>
                <w:noProof/>
                <w:webHidden/>
              </w:rPr>
              <w:fldChar w:fldCharType="end"/>
            </w:r>
          </w:hyperlink>
        </w:p>
        <w:p w14:paraId="546F17EB" w14:textId="77777777" w:rsidR="00303661" w:rsidRDefault="00B9097B" w:rsidP="00DB3190">
          <w:pPr>
            <w:pStyle w:val="TDC4"/>
            <w:tabs>
              <w:tab w:val="left" w:pos="1320"/>
              <w:tab w:val="right" w:leader="dot" w:pos="9168"/>
            </w:tabs>
            <w:spacing w:after="0"/>
            <w:rPr>
              <w:rFonts w:asciiTheme="minorHAnsi" w:eastAsiaTheme="minorEastAsia" w:hAnsiTheme="minorHAnsi" w:cstheme="minorBidi"/>
              <w:noProof/>
              <w:sz w:val="22"/>
              <w:szCs w:val="22"/>
              <w:lang w:val="es-CO" w:eastAsia="es-CO"/>
            </w:rPr>
          </w:pPr>
          <w:hyperlink w:anchor="_Toc36031118" w:history="1">
            <w:r w:rsidR="00303661" w:rsidRPr="00DE3766">
              <w:rPr>
                <w:rStyle w:val="Hipervnculo"/>
                <w:noProof/>
              </w:rPr>
              <w:t>ii.</w:t>
            </w:r>
            <w:r w:rsidR="00303661">
              <w:rPr>
                <w:rFonts w:asciiTheme="minorHAnsi" w:eastAsiaTheme="minorEastAsia" w:hAnsiTheme="minorHAnsi" w:cstheme="minorBidi"/>
                <w:noProof/>
                <w:sz w:val="22"/>
                <w:szCs w:val="22"/>
                <w:lang w:val="es-CO" w:eastAsia="es-CO"/>
              </w:rPr>
              <w:tab/>
            </w:r>
            <w:r w:rsidR="00303661" w:rsidRPr="00DE3766">
              <w:rPr>
                <w:rStyle w:val="Hipervnculo"/>
                <w:noProof/>
              </w:rPr>
              <w:t>Adquisición de bienes y servicios</w:t>
            </w:r>
            <w:r w:rsidR="00303661">
              <w:rPr>
                <w:noProof/>
                <w:webHidden/>
              </w:rPr>
              <w:tab/>
            </w:r>
            <w:r w:rsidR="00303661">
              <w:rPr>
                <w:noProof/>
                <w:webHidden/>
              </w:rPr>
              <w:fldChar w:fldCharType="begin"/>
            </w:r>
            <w:r w:rsidR="00303661">
              <w:rPr>
                <w:noProof/>
                <w:webHidden/>
              </w:rPr>
              <w:instrText xml:space="preserve"> PAGEREF _Toc36031118 \h </w:instrText>
            </w:r>
            <w:r w:rsidR="00303661">
              <w:rPr>
                <w:noProof/>
                <w:webHidden/>
              </w:rPr>
            </w:r>
            <w:r w:rsidR="00303661">
              <w:rPr>
                <w:noProof/>
                <w:webHidden/>
              </w:rPr>
              <w:fldChar w:fldCharType="separate"/>
            </w:r>
            <w:r w:rsidR="00FE4EBE">
              <w:rPr>
                <w:noProof/>
                <w:webHidden/>
              </w:rPr>
              <w:t>22</w:t>
            </w:r>
            <w:r w:rsidR="00303661">
              <w:rPr>
                <w:noProof/>
                <w:webHidden/>
              </w:rPr>
              <w:fldChar w:fldCharType="end"/>
            </w:r>
          </w:hyperlink>
        </w:p>
        <w:p w14:paraId="44F58217" w14:textId="77777777" w:rsidR="00303661" w:rsidRDefault="00B9097B" w:rsidP="00DB3190">
          <w:pPr>
            <w:pStyle w:val="TDC3"/>
            <w:tabs>
              <w:tab w:val="left" w:pos="1320"/>
              <w:tab w:val="right" w:leader="dot" w:pos="9168"/>
            </w:tabs>
            <w:spacing w:after="0"/>
            <w:rPr>
              <w:rFonts w:asciiTheme="minorHAnsi" w:eastAsiaTheme="minorEastAsia" w:hAnsiTheme="minorHAnsi" w:cstheme="minorBidi"/>
              <w:noProof/>
              <w:sz w:val="22"/>
              <w:szCs w:val="22"/>
              <w:lang w:val="es-CO" w:eastAsia="es-CO"/>
            </w:rPr>
          </w:pPr>
          <w:hyperlink w:anchor="_Toc36031119" w:history="1">
            <w:r w:rsidR="00303661" w:rsidRPr="00DE3766">
              <w:rPr>
                <w:rStyle w:val="Hipervnculo"/>
                <w:noProof/>
                <w:lang w:val="es-CO"/>
              </w:rPr>
              <w:t>4.2.2.</w:t>
            </w:r>
            <w:r w:rsidR="00303661">
              <w:rPr>
                <w:rFonts w:asciiTheme="minorHAnsi" w:eastAsiaTheme="minorEastAsia" w:hAnsiTheme="minorHAnsi" w:cstheme="minorBidi"/>
                <w:noProof/>
                <w:sz w:val="22"/>
                <w:szCs w:val="22"/>
                <w:lang w:val="es-CO" w:eastAsia="es-CO"/>
              </w:rPr>
              <w:tab/>
            </w:r>
            <w:r w:rsidR="00303661" w:rsidRPr="00DE3766">
              <w:rPr>
                <w:rStyle w:val="Hipervnculo"/>
                <w:noProof/>
                <w:lang w:val="es-CO"/>
              </w:rPr>
              <w:t>Presupuesto de inversión 2021</w:t>
            </w:r>
            <w:r w:rsidR="00303661">
              <w:rPr>
                <w:noProof/>
                <w:webHidden/>
              </w:rPr>
              <w:tab/>
            </w:r>
            <w:r w:rsidR="00303661">
              <w:rPr>
                <w:noProof/>
                <w:webHidden/>
              </w:rPr>
              <w:fldChar w:fldCharType="begin"/>
            </w:r>
            <w:r w:rsidR="00303661">
              <w:rPr>
                <w:noProof/>
                <w:webHidden/>
              </w:rPr>
              <w:instrText xml:space="preserve"> PAGEREF _Toc36031119 \h </w:instrText>
            </w:r>
            <w:r w:rsidR="00303661">
              <w:rPr>
                <w:noProof/>
                <w:webHidden/>
              </w:rPr>
            </w:r>
            <w:r w:rsidR="00303661">
              <w:rPr>
                <w:noProof/>
                <w:webHidden/>
              </w:rPr>
              <w:fldChar w:fldCharType="separate"/>
            </w:r>
            <w:r w:rsidR="00FE4EBE">
              <w:rPr>
                <w:noProof/>
                <w:webHidden/>
              </w:rPr>
              <w:t>25</w:t>
            </w:r>
            <w:r w:rsidR="00303661">
              <w:rPr>
                <w:noProof/>
                <w:webHidden/>
              </w:rPr>
              <w:fldChar w:fldCharType="end"/>
            </w:r>
          </w:hyperlink>
        </w:p>
        <w:p w14:paraId="198C7F87" w14:textId="77777777" w:rsidR="00303661" w:rsidRDefault="00B9097B" w:rsidP="00DB3190">
          <w:pPr>
            <w:pStyle w:val="TDC2"/>
            <w:spacing w:after="0"/>
            <w:rPr>
              <w:rFonts w:asciiTheme="minorHAnsi" w:eastAsiaTheme="minorEastAsia" w:hAnsiTheme="minorHAnsi" w:cstheme="minorBidi"/>
              <w:noProof/>
              <w:sz w:val="22"/>
              <w:szCs w:val="22"/>
              <w:lang w:val="es-CO" w:eastAsia="es-CO"/>
            </w:rPr>
          </w:pPr>
          <w:hyperlink w:anchor="_Toc36031120" w:history="1">
            <w:r w:rsidR="00303661" w:rsidRPr="00DE3766">
              <w:rPr>
                <w:rStyle w:val="Hipervnculo"/>
                <w:noProof/>
                <w:lang w:val="es-CO"/>
              </w:rPr>
              <w:t>4.3.</w:t>
            </w:r>
            <w:r w:rsidR="00303661">
              <w:rPr>
                <w:rFonts w:asciiTheme="minorHAnsi" w:eastAsiaTheme="minorEastAsia" w:hAnsiTheme="minorHAnsi" w:cstheme="minorBidi"/>
                <w:noProof/>
                <w:sz w:val="22"/>
                <w:szCs w:val="22"/>
                <w:lang w:val="es-CO" w:eastAsia="es-CO"/>
              </w:rPr>
              <w:tab/>
            </w:r>
            <w:r w:rsidR="00303661" w:rsidRPr="00DE3766">
              <w:rPr>
                <w:rStyle w:val="Hipervnculo"/>
                <w:noProof/>
              </w:rPr>
              <w:t>AJUSTE AL TOPE PRESUPUESTAL 2021</w:t>
            </w:r>
            <w:r w:rsidR="00303661">
              <w:rPr>
                <w:noProof/>
                <w:webHidden/>
              </w:rPr>
              <w:tab/>
            </w:r>
            <w:r w:rsidR="00303661">
              <w:rPr>
                <w:noProof/>
                <w:webHidden/>
              </w:rPr>
              <w:fldChar w:fldCharType="begin"/>
            </w:r>
            <w:r w:rsidR="00303661">
              <w:rPr>
                <w:noProof/>
                <w:webHidden/>
              </w:rPr>
              <w:instrText xml:space="preserve"> PAGEREF _Toc36031120 \h </w:instrText>
            </w:r>
            <w:r w:rsidR="00303661">
              <w:rPr>
                <w:noProof/>
                <w:webHidden/>
              </w:rPr>
            </w:r>
            <w:r w:rsidR="00303661">
              <w:rPr>
                <w:noProof/>
                <w:webHidden/>
              </w:rPr>
              <w:fldChar w:fldCharType="separate"/>
            </w:r>
            <w:r w:rsidR="00FE4EBE">
              <w:rPr>
                <w:noProof/>
                <w:webHidden/>
              </w:rPr>
              <w:t>27</w:t>
            </w:r>
            <w:r w:rsidR="00303661">
              <w:rPr>
                <w:noProof/>
                <w:webHidden/>
              </w:rPr>
              <w:fldChar w:fldCharType="end"/>
            </w:r>
          </w:hyperlink>
        </w:p>
        <w:p w14:paraId="7FC53503" w14:textId="1B2CBE1A" w:rsidR="00DD7D20" w:rsidRPr="00A61EA2" w:rsidRDefault="00863D18" w:rsidP="00DB3190">
          <w:pPr>
            <w:rPr>
              <w:lang w:val="es-CO"/>
            </w:rPr>
          </w:pPr>
          <w:r w:rsidRPr="008B1EC6">
            <w:rPr>
              <w:b/>
              <w:bCs/>
              <w:color w:val="000000" w:themeColor="text1"/>
              <w:lang w:val="es-CO"/>
            </w:rPr>
            <w:fldChar w:fldCharType="end"/>
          </w:r>
        </w:p>
      </w:sdtContent>
    </w:sdt>
    <w:p w14:paraId="0D5EEE22" w14:textId="0E287B61" w:rsidR="00923152" w:rsidRPr="00A61EA2" w:rsidRDefault="00923152" w:rsidP="00DB3190">
      <w:pPr>
        <w:pStyle w:val="Ttulo1"/>
        <w:widowControl w:val="0"/>
        <w:autoSpaceDE w:val="0"/>
        <w:autoSpaceDN w:val="0"/>
        <w:adjustRightInd w:val="0"/>
        <w:spacing w:before="0"/>
        <w:ind w:left="720"/>
        <w:jc w:val="both"/>
        <w:rPr>
          <w:rFonts w:ascii="Palatino Linotype" w:hAnsi="Palatino Linotype" w:cs="Times New Roman (Títulos en alf"/>
          <w:sz w:val="24"/>
          <w:szCs w:val="24"/>
          <w:lang w:val="es-CO"/>
        </w:rPr>
      </w:pPr>
      <w:r w:rsidRPr="00A61EA2">
        <w:rPr>
          <w:rFonts w:ascii="Palatino Linotype" w:hAnsi="Palatino Linotype" w:cs="Times New Roman (Títulos en alf"/>
          <w:sz w:val="24"/>
          <w:szCs w:val="24"/>
          <w:lang w:val="es-CO"/>
        </w:rPr>
        <w:br w:type="page"/>
      </w:r>
    </w:p>
    <w:p w14:paraId="79621DD7" w14:textId="512ED99B" w:rsidR="00357226" w:rsidRPr="00512E1C" w:rsidRDefault="00357226" w:rsidP="00DB3190">
      <w:pPr>
        <w:pStyle w:val="Ttulo1"/>
        <w:widowControl w:val="0"/>
        <w:numPr>
          <w:ilvl w:val="0"/>
          <w:numId w:val="3"/>
        </w:numPr>
        <w:autoSpaceDE w:val="0"/>
        <w:autoSpaceDN w:val="0"/>
        <w:adjustRightInd w:val="0"/>
        <w:spacing w:before="0"/>
        <w:jc w:val="both"/>
        <w:rPr>
          <w:rFonts w:ascii="Palatino Linotype" w:hAnsi="Palatino Linotype" w:cs="Times New Roman (Títulos en alf"/>
          <w:b/>
          <w:sz w:val="24"/>
          <w:szCs w:val="24"/>
          <w:lang w:val="es-CO"/>
        </w:rPr>
      </w:pPr>
      <w:bookmarkStart w:id="3" w:name="_Toc36031107"/>
      <w:r w:rsidRPr="00512E1C">
        <w:rPr>
          <w:rFonts w:ascii="Palatino Linotype" w:hAnsi="Palatino Linotype" w:cs="Times New Roman (Títulos en alf"/>
          <w:b/>
          <w:sz w:val="24"/>
          <w:szCs w:val="24"/>
          <w:lang w:val="es-CO"/>
        </w:rPr>
        <w:lastRenderedPageBreak/>
        <w:t>MARCO NORMATIVO</w:t>
      </w:r>
      <w:bookmarkEnd w:id="2"/>
      <w:bookmarkEnd w:id="3"/>
    </w:p>
    <w:p w14:paraId="73784299" w14:textId="77777777" w:rsidR="001C3C12" w:rsidRPr="00EE2272" w:rsidRDefault="001C3C12" w:rsidP="00DB3190">
      <w:pPr>
        <w:jc w:val="both"/>
        <w:rPr>
          <w:color w:val="000000" w:themeColor="text1"/>
          <w:sz w:val="18"/>
          <w:lang w:val="es-CO"/>
        </w:rPr>
      </w:pPr>
    </w:p>
    <w:p w14:paraId="10C94B24" w14:textId="24FE1D66" w:rsidR="00357226" w:rsidRPr="00A61EA2" w:rsidRDefault="00357226" w:rsidP="00DB3190">
      <w:pPr>
        <w:jc w:val="both"/>
        <w:rPr>
          <w:color w:val="000000" w:themeColor="text1"/>
          <w:lang w:val="es-CO"/>
        </w:rPr>
      </w:pPr>
      <w:r w:rsidRPr="00A61EA2">
        <w:rPr>
          <w:color w:val="000000" w:themeColor="text1"/>
          <w:lang w:val="es-CO"/>
        </w:rPr>
        <w:t xml:space="preserve">La Jurisdicción Especial de Paz </w:t>
      </w:r>
      <w:r w:rsidR="002127A5">
        <w:rPr>
          <w:color w:val="000000" w:themeColor="text1"/>
          <w:lang w:val="es-CO"/>
        </w:rPr>
        <w:t xml:space="preserve">(JEP) </w:t>
      </w:r>
      <w:r w:rsidRPr="00A61EA2">
        <w:rPr>
          <w:color w:val="000000" w:themeColor="text1"/>
          <w:lang w:val="es-CO"/>
        </w:rPr>
        <w:t>fue establecida como la entidad encargada del componente de justicia en el marco del Sistema Integral de Verdad, Justicia, Reparación y No Repetición (SIVJRNR) introducido en el Punto 5 (sub</w:t>
      </w:r>
      <w:r w:rsidR="002127A5">
        <w:rPr>
          <w:color w:val="000000" w:themeColor="text1"/>
          <w:lang w:val="es-CO"/>
        </w:rPr>
        <w:t xml:space="preserve"> </w:t>
      </w:r>
      <w:r w:rsidRPr="00A61EA2">
        <w:rPr>
          <w:color w:val="000000" w:themeColor="text1"/>
          <w:lang w:val="es-CO"/>
        </w:rPr>
        <w:t xml:space="preserve">punto 5.1.2) del </w:t>
      </w:r>
      <w:r w:rsidRPr="00A61EA2">
        <w:rPr>
          <w:i/>
          <w:color w:val="000000" w:themeColor="text1"/>
          <w:lang w:val="es-CO"/>
        </w:rPr>
        <w:t>Acuerdo Final para la Terminación del Conflicto y la Construcción de una Paz Estable y Duradera,</w:t>
      </w:r>
      <w:r w:rsidRPr="00A61EA2">
        <w:rPr>
          <w:color w:val="000000" w:themeColor="text1"/>
          <w:lang w:val="es-CO"/>
        </w:rPr>
        <w:t xml:space="preserve"> firmado por el Gobierno Nacional y FARC-EP en noviembre de 2016. </w:t>
      </w:r>
    </w:p>
    <w:p w14:paraId="15545396" w14:textId="77777777" w:rsidR="00357226" w:rsidRPr="00A61EA2" w:rsidRDefault="00357226" w:rsidP="00DB3190">
      <w:pPr>
        <w:jc w:val="both"/>
        <w:rPr>
          <w:color w:val="000000" w:themeColor="text1"/>
          <w:lang w:val="es-CO"/>
        </w:rPr>
      </w:pPr>
    </w:p>
    <w:p w14:paraId="5F175B1C" w14:textId="61A84101" w:rsidR="00357226" w:rsidRPr="00A61EA2" w:rsidRDefault="00357226" w:rsidP="00DB3190">
      <w:pPr>
        <w:jc w:val="both"/>
        <w:rPr>
          <w:color w:val="000000" w:themeColor="text1"/>
          <w:lang w:val="es-CO"/>
        </w:rPr>
      </w:pPr>
      <w:r w:rsidRPr="00A61EA2">
        <w:rPr>
          <w:color w:val="000000" w:themeColor="text1"/>
          <w:lang w:val="es-CO"/>
        </w:rPr>
        <w:t xml:space="preserve">La institucionalización de la JEP en el marco constitucional y legal colombiano se efectuó a través del Acto Legislativo 01 de abril de 2017, </w:t>
      </w:r>
      <w:r w:rsidR="0015301F">
        <w:rPr>
          <w:color w:val="000000" w:themeColor="text1"/>
          <w:lang w:val="es-CO"/>
        </w:rPr>
        <w:t>como parte</w:t>
      </w:r>
      <w:r w:rsidRPr="00A61EA2">
        <w:rPr>
          <w:color w:val="000000" w:themeColor="text1"/>
          <w:lang w:val="es-CO"/>
        </w:rPr>
        <w:t xml:space="preserve"> del Artículo Transitorio 5º que establece a la Jurisdicción Especial de Paz como una entidad </w:t>
      </w:r>
      <w:r w:rsidRPr="00A61EA2">
        <w:rPr>
          <w:i/>
          <w:color w:val="000000" w:themeColor="text1"/>
          <w:lang w:val="es-CO"/>
        </w:rPr>
        <w:t xml:space="preserve">sujeta a un régimen legal propio, con autonomía administrativa, presupuestal y técnica. </w:t>
      </w:r>
      <w:r w:rsidRPr="00A61EA2">
        <w:rPr>
          <w:color w:val="000000" w:themeColor="text1"/>
          <w:lang w:val="es-CO"/>
        </w:rPr>
        <w:t>De conformidad con esta autonomía la Jurisdicción realizó su anteproyecto de presupue</w:t>
      </w:r>
      <w:r w:rsidR="0015301F">
        <w:rPr>
          <w:color w:val="000000" w:themeColor="text1"/>
          <w:lang w:val="es-CO"/>
        </w:rPr>
        <w:t>sto para la vigencia 2021</w:t>
      </w:r>
      <w:r w:rsidRPr="00A61EA2">
        <w:rPr>
          <w:color w:val="000000" w:themeColor="text1"/>
          <w:lang w:val="es-CO"/>
        </w:rPr>
        <w:t xml:space="preserve">. </w:t>
      </w:r>
    </w:p>
    <w:p w14:paraId="1E0F352A" w14:textId="77777777" w:rsidR="00357226" w:rsidRDefault="00357226" w:rsidP="00DB3190">
      <w:pPr>
        <w:jc w:val="both"/>
        <w:rPr>
          <w:color w:val="000000" w:themeColor="text1"/>
          <w:lang w:val="es-CO"/>
        </w:rPr>
      </w:pPr>
    </w:p>
    <w:p w14:paraId="2BEEF955" w14:textId="0B182A6E" w:rsidR="00057A4D" w:rsidRDefault="00057A4D" w:rsidP="00DB3190">
      <w:pPr>
        <w:jc w:val="both"/>
        <w:rPr>
          <w:color w:val="000000" w:themeColor="text1"/>
          <w:lang w:val="es-CO"/>
        </w:rPr>
      </w:pPr>
      <w:r>
        <w:rPr>
          <w:color w:val="000000" w:themeColor="text1"/>
          <w:lang w:val="es-CO"/>
        </w:rPr>
        <w:t xml:space="preserve">Además, </w:t>
      </w:r>
      <w:r w:rsidRPr="00057A4D">
        <w:rPr>
          <w:color w:val="000000" w:themeColor="text1"/>
          <w:lang w:val="es-CO"/>
        </w:rPr>
        <w:t>de conformidad con el parágraf</w:t>
      </w:r>
      <w:r>
        <w:rPr>
          <w:color w:val="000000" w:themeColor="text1"/>
          <w:lang w:val="es-CO"/>
        </w:rPr>
        <w:t>o 2</w:t>
      </w:r>
      <w:r w:rsidRPr="00057A4D">
        <w:rPr>
          <w:color w:val="000000" w:themeColor="text1"/>
          <w:lang w:val="es-CO"/>
        </w:rPr>
        <w:t xml:space="preserve"> </w:t>
      </w:r>
      <w:r w:rsidRPr="00A61EA2">
        <w:rPr>
          <w:color w:val="000000" w:themeColor="text1"/>
          <w:lang w:val="es-CO"/>
        </w:rPr>
        <w:t>º</w:t>
      </w:r>
      <w:r>
        <w:rPr>
          <w:color w:val="000000" w:themeColor="text1"/>
          <w:lang w:val="es-CO"/>
        </w:rPr>
        <w:t xml:space="preserve"> del artículo transitorio 5</w:t>
      </w:r>
      <w:r w:rsidRPr="00057A4D">
        <w:rPr>
          <w:color w:val="000000" w:themeColor="text1"/>
          <w:lang w:val="es-CO"/>
        </w:rPr>
        <w:t xml:space="preserve"> </w:t>
      </w:r>
      <w:r w:rsidRPr="00A61EA2">
        <w:rPr>
          <w:color w:val="000000" w:themeColor="text1"/>
          <w:lang w:val="es-CO"/>
        </w:rPr>
        <w:t>º</w:t>
      </w:r>
      <w:r w:rsidRPr="00057A4D">
        <w:rPr>
          <w:color w:val="000000" w:themeColor="text1"/>
          <w:lang w:val="es-CO"/>
        </w:rPr>
        <w:t xml:space="preserve"> del Acto Legislativo 01 de 2017, el </w:t>
      </w:r>
      <w:r w:rsidR="002127A5" w:rsidRPr="00057A4D">
        <w:rPr>
          <w:color w:val="000000" w:themeColor="text1"/>
          <w:lang w:val="es-CO"/>
        </w:rPr>
        <w:t>Ó</w:t>
      </w:r>
      <w:r w:rsidRPr="00057A4D">
        <w:rPr>
          <w:color w:val="000000" w:themeColor="text1"/>
          <w:lang w:val="es-CO"/>
        </w:rPr>
        <w:t xml:space="preserve">rgano de </w:t>
      </w:r>
      <w:r w:rsidR="002127A5" w:rsidRPr="00057A4D">
        <w:rPr>
          <w:color w:val="000000" w:themeColor="text1"/>
          <w:lang w:val="es-CO"/>
        </w:rPr>
        <w:t>G</w:t>
      </w:r>
      <w:r w:rsidRPr="00057A4D">
        <w:rPr>
          <w:color w:val="000000" w:themeColor="text1"/>
          <w:lang w:val="es-CO"/>
        </w:rPr>
        <w:t>obierno de la JEP ejerce las funciones asignadas a la Sala Administrativa del Consejo Superior de la Judicatura en el Acto legislativo 2 de 2015 y en la Ley 270 de 1996 respecto al gobierno y administración de esta Jurisdicción.</w:t>
      </w:r>
      <w:r w:rsidR="002127A5">
        <w:rPr>
          <w:color w:val="000000" w:themeColor="text1"/>
          <w:lang w:val="es-CO"/>
        </w:rPr>
        <w:t xml:space="preserve"> </w:t>
      </w:r>
      <w:r>
        <w:rPr>
          <w:color w:val="000000" w:themeColor="text1"/>
          <w:lang w:val="es-CO"/>
        </w:rPr>
        <w:t xml:space="preserve">En correspondencia, </w:t>
      </w:r>
      <w:r w:rsidRPr="00057A4D">
        <w:rPr>
          <w:color w:val="000000" w:themeColor="text1"/>
          <w:lang w:val="es-CO"/>
        </w:rPr>
        <w:t>la Ley 270 de 1996, en el nume</w:t>
      </w:r>
      <w:r w:rsidR="002127A5">
        <w:rPr>
          <w:color w:val="000000" w:themeColor="text1"/>
          <w:lang w:val="es-CO"/>
        </w:rPr>
        <w:t>ral 1 de su artículo 85, dispone</w:t>
      </w:r>
      <w:r w:rsidRPr="00057A4D">
        <w:rPr>
          <w:color w:val="000000" w:themeColor="text1"/>
          <w:lang w:val="es-CO"/>
        </w:rPr>
        <w:t xml:space="preserve"> que la Sala Administrativa del Consejo Superior de la Judicatura tiene la función de </w:t>
      </w:r>
      <w:r w:rsidRPr="00057A4D">
        <w:rPr>
          <w:i/>
          <w:color w:val="000000" w:themeColor="text1"/>
          <w:lang w:val="es-CO"/>
        </w:rPr>
        <w:t>"[e]laborar el proyecto de presupuesto de la Rama Judicial que deberá remitirse al Gobierno nacional, el cual deberá incorporar el proyecto que proponga la Fiscalía General de la Nación</w:t>
      </w:r>
      <w:r w:rsidRPr="00057A4D">
        <w:rPr>
          <w:color w:val="000000" w:themeColor="text1"/>
          <w:lang w:val="es-CO"/>
        </w:rPr>
        <w:t>".</w:t>
      </w:r>
    </w:p>
    <w:p w14:paraId="16E28212" w14:textId="77777777" w:rsidR="00057A4D" w:rsidRDefault="00057A4D" w:rsidP="00DB3190">
      <w:pPr>
        <w:jc w:val="both"/>
        <w:rPr>
          <w:color w:val="000000" w:themeColor="text1"/>
          <w:lang w:val="es-CO"/>
        </w:rPr>
      </w:pPr>
    </w:p>
    <w:p w14:paraId="7F120257" w14:textId="77E26F67" w:rsidR="00170D50" w:rsidRPr="00170D50" w:rsidRDefault="00170D50" w:rsidP="00DB3190">
      <w:pPr>
        <w:jc w:val="both"/>
        <w:rPr>
          <w:color w:val="000000" w:themeColor="text1"/>
          <w:lang w:val="es-CO"/>
        </w:rPr>
      </w:pPr>
      <w:r>
        <w:rPr>
          <w:color w:val="000000" w:themeColor="text1"/>
          <w:lang w:val="es-CO"/>
        </w:rPr>
        <w:t xml:space="preserve">En consecuencia, el numeral 5 del artículo 110 de la Ley </w:t>
      </w:r>
      <w:r w:rsidRPr="00170D50">
        <w:rPr>
          <w:color w:val="000000" w:themeColor="text1"/>
          <w:lang w:val="es-CO"/>
        </w:rPr>
        <w:t>Estatutaria de la Administración de Justicia en la Jurisdicción Especial para la Paz</w:t>
      </w:r>
      <w:r>
        <w:rPr>
          <w:color w:val="000000" w:themeColor="text1"/>
          <w:lang w:val="es-CO"/>
        </w:rPr>
        <w:t xml:space="preserve"> – 1957 de 2019 fija como una de las funciones del Órgano de Gobierno el “</w:t>
      </w:r>
      <w:r w:rsidR="009145B1">
        <w:rPr>
          <w:i/>
          <w:color w:val="000000" w:themeColor="text1"/>
          <w:lang w:val="es-CO"/>
        </w:rPr>
        <w:t>[a</w:t>
      </w:r>
      <w:r w:rsidR="009145B1" w:rsidRPr="00057A4D">
        <w:rPr>
          <w:i/>
          <w:color w:val="000000" w:themeColor="text1"/>
          <w:lang w:val="es-CO"/>
        </w:rPr>
        <w:t>]</w:t>
      </w:r>
      <w:r w:rsidR="009145B1" w:rsidRPr="00170D50">
        <w:rPr>
          <w:i/>
          <w:color w:val="000000" w:themeColor="text1"/>
          <w:lang w:val="es-CO"/>
        </w:rPr>
        <w:t>probar el anteproyecto de presupuesto de la JEP que le presente la Secretaría Ejecutiva, para ser remitido al Gobierno Nacional</w:t>
      </w:r>
      <w:r w:rsidR="009145B1">
        <w:rPr>
          <w:color w:val="000000" w:themeColor="text1"/>
          <w:lang w:val="es-CO"/>
        </w:rPr>
        <w:t xml:space="preserve">”; </w:t>
      </w:r>
      <w:r>
        <w:rPr>
          <w:color w:val="000000" w:themeColor="text1"/>
          <w:lang w:val="es-CO"/>
        </w:rPr>
        <w:t>es decir, previa elaboración por parte de la Secretaría Ejecutiva según lo dispuesto e</w:t>
      </w:r>
      <w:r w:rsidR="0015301F">
        <w:rPr>
          <w:color w:val="000000" w:themeColor="text1"/>
          <w:lang w:val="es-CO"/>
        </w:rPr>
        <w:t>n el numeral 16 del artículo 112</w:t>
      </w:r>
      <w:r>
        <w:rPr>
          <w:color w:val="000000" w:themeColor="text1"/>
          <w:lang w:val="es-CO"/>
        </w:rPr>
        <w:t xml:space="preserve"> de la misma Ley. </w:t>
      </w:r>
    </w:p>
    <w:p w14:paraId="6047A84D" w14:textId="69EC81B7" w:rsidR="00170D50" w:rsidRDefault="00170D50" w:rsidP="00DB3190">
      <w:pPr>
        <w:jc w:val="both"/>
        <w:rPr>
          <w:color w:val="000000" w:themeColor="text1"/>
          <w:lang w:val="es-CO"/>
        </w:rPr>
      </w:pPr>
    </w:p>
    <w:p w14:paraId="4CF9AB13" w14:textId="77777777" w:rsidR="00667AB2" w:rsidRDefault="00667AB2" w:rsidP="00DB3190">
      <w:pPr>
        <w:jc w:val="both"/>
        <w:rPr>
          <w:color w:val="000000" w:themeColor="text1"/>
          <w:lang w:val="es-CO"/>
        </w:rPr>
      </w:pPr>
      <w:r>
        <w:rPr>
          <w:color w:val="000000" w:themeColor="text1"/>
          <w:lang w:val="es-CO"/>
        </w:rPr>
        <w:t>Por su parte, el parágrafo 1 del referido artículo 112 señala que “</w:t>
      </w:r>
      <w:r w:rsidRPr="00057A4D">
        <w:rPr>
          <w:i/>
          <w:color w:val="000000" w:themeColor="text1"/>
          <w:lang w:val="es-CO"/>
        </w:rPr>
        <w:t>[e]</w:t>
      </w:r>
      <w:r w:rsidRPr="00AB7F74">
        <w:rPr>
          <w:i/>
          <w:color w:val="000000" w:themeColor="text1"/>
          <w:lang w:val="es-CO"/>
        </w:rPr>
        <w:t>l Gobierno Nacional proporcionará a la JEP el apoyo que ésta requiera para cumplir sus funciones y para tales fines el Ministerio de Hacienda y Crédito Público efectuará los ajustes presupuéstales necesarios de conformidad con las disposiciones de la ley orgánica del presupuesto, para que se hagan las apropiaciones correspondientes para financiar los gastos dirigidos al cumplimiento de su objeto</w:t>
      </w:r>
      <w:r>
        <w:rPr>
          <w:color w:val="000000" w:themeColor="text1"/>
          <w:lang w:val="es-CO"/>
        </w:rPr>
        <w:t>”</w:t>
      </w:r>
      <w:r w:rsidRPr="00AB7F74">
        <w:rPr>
          <w:color w:val="000000" w:themeColor="text1"/>
          <w:lang w:val="es-CO"/>
        </w:rPr>
        <w:t>.</w:t>
      </w:r>
    </w:p>
    <w:p w14:paraId="497496B2" w14:textId="77777777" w:rsidR="00AB7F74" w:rsidRDefault="00AB7F74" w:rsidP="00DB3190">
      <w:pPr>
        <w:jc w:val="both"/>
        <w:rPr>
          <w:color w:val="000000" w:themeColor="text1"/>
          <w:lang w:val="es-CO"/>
        </w:rPr>
      </w:pPr>
    </w:p>
    <w:p w14:paraId="70E7191D" w14:textId="101EBA11" w:rsidR="00CA2440" w:rsidRDefault="00CA2440" w:rsidP="00DB3190">
      <w:pPr>
        <w:jc w:val="both"/>
        <w:rPr>
          <w:lang w:val="es-MX"/>
        </w:rPr>
      </w:pPr>
      <w:r>
        <w:rPr>
          <w:lang w:val="es-MX"/>
        </w:rPr>
        <w:t xml:space="preserve">A partir del Decreto 2107 de 2017 </w:t>
      </w:r>
      <w:r w:rsidRPr="00243718">
        <w:rPr>
          <w:color w:val="000000" w:themeColor="text1"/>
          <w:lang w:val="es-MX"/>
        </w:rPr>
        <w:t xml:space="preserve">se </w:t>
      </w:r>
      <w:r>
        <w:rPr>
          <w:lang w:val="es-MX"/>
        </w:rPr>
        <w:t>cuenta con el fundamento normativo para que la JEP pueda apropiar recursos dentro del Presupuesto General de la Nación ya que se indica disponer de una Sección Presupuestal para la JEP, apropiando los primeros recursos a título propio en agosto de 2018.</w:t>
      </w:r>
    </w:p>
    <w:p w14:paraId="03BA648B" w14:textId="77777777" w:rsidR="003C6127" w:rsidRDefault="003C6127" w:rsidP="00DB3190">
      <w:pPr>
        <w:jc w:val="both"/>
        <w:rPr>
          <w:color w:val="000000" w:themeColor="text1"/>
          <w:lang w:val="es-MX"/>
        </w:rPr>
      </w:pPr>
    </w:p>
    <w:p w14:paraId="487746A0" w14:textId="3BC3AC43" w:rsidR="00357226" w:rsidRPr="00A61EA2" w:rsidRDefault="003C6127" w:rsidP="00DB3190">
      <w:pPr>
        <w:jc w:val="both"/>
        <w:rPr>
          <w:color w:val="000000" w:themeColor="text1"/>
          <w:lang w:val="es-CO"/>
        </w:rPr>
      </w:pPr>
      <w:r>
        <w:rPr>
          <w:color w:val="000000" w:themeColor="text1"/>
          <w:lang w:val="es-CO"/>
        </w:rPr>
        <w:lastRenderedPageBreak/>
        <w:t>A</w:t>
      </w:r>
      <w:r w:rsidR="00357226" w:rsidRPr="00A61EA2">
        <w:rPr>
          <w:color w:val="000000" w:themeColor="text1"/>
          <w:lang w:val="es-CO"/>
        </w:rPr>
        <w:t xml:space="preserve">demás de </w:t>
      </w:r>
      <w:r w:rsidR="00103779">
        <w:rPr>
          <w:color w:val="000000" w:themeColor="text1"/>
          <w:lang w:val="es-CO"/>
        </w:rPr>
        <w:t>las normas ya citadas</w:t>
      </w:r>
      <w:r w:rsidR="00357226" w:rsidRPr="00A61EA2">
        <w:rPr>
          <w:color w:val="000000" w:themeColor="text1"/>
          <w:lang w:val="es-CO"/>
        </w:rPr>
        <w:t>, este presupuesto h</w:t>
      </w:r>
      <w:r w:rsidR="00AB7F74">
        <w:rPr>
          <w:color w:val="000000" w:themeColor="text1"/>
          <w:lang w:val="es-CO"/>
        </w:rPr>
        <w:t xml:space="preserve">a sido elaborado de conformidad </w:t>
      </w:r>
      <w:r w:rsidR="00357226" w:rsidRPr="00A61EA2">
        <w:rPr>
          <w:color w:val="000000" w:themeColor="text1"/>
          <w:lang w:val="es-CO"/>
        </w:rPr>
        <w:t xml:space="preserve">con las </w:t>
      </w:r>
      <w:r w:rsidR="00CA2440">
        <w:rPr>
          <w:color w:val="000000" w:themeColor="text1"/>
          <w:lang w:val="es-CO"/>
        </w:rPr>
        <w:t>demás normas</w:t>
      </w:r>
      <w:r w:rsidR="00357226" w:rsidRPr="00A61EA2">
        <w:rPr>
          <w:color w:val="000000" w:themeColor="text1"/>
          <w:lang w:val="es-CO"/>
        </w:rPr>
        <w:t xml:space="preserve"> vigentes</w:t>
      </w:r>
      <w:r w:rsidR="00D63CF4" w:rsidRPr="00A61EA2">
        <w:rPr>
          <w:color w:val="000000" w:themeColor="text1"/>
          <w:lang w:val="es-CO"/>
        </w:rPr>
        <w:t xml:space="preserve"> para la Jurisdicción </w:t>
      </w:r>
      <w:r w:rsidR="002704EB" w:rsidRPr="00A61EA2">
        <w:rPr>
          <w:color w:val="000000" w:themeColor="text1"/>
          <w:lang w:val="es-CO"/>
        </w:rPr>
        <w:t xml:space="preserve">y </w:t>
      </w:r>
      <w:r w:rsidR="00C67CCD" w:rsidRPr="00A61EA2">
        <w:rPr>
          <w:color w:val="000000" w:themeColor="text1"/>
          <w:lang w:val="es-CO"/>
        </w:rPr>
        <w:t>aquellas</w:t>
      </w:r>
      <w:r w:rsidR="00357226" w:rsidRPr="00A61EA2">
        <w:rPr>
          <w:color w:val="000000" w:themeColor="text1"/>
          <w:lang w:val="es-CO"/>
        </w:rPr>
        <w:t xml:space="preserve"> en materia presupuestal y financiera </w:t>
      </w:r>
      <w:r w:rsidR="002704EB" w:rsidRPr="00A61EA2">
        <w:rPr>
          <w:color w:val="000000" w:themeColor="text1"/>
          <w:lang w:val="es-CO"/>
        </w:rPr>
        <w:t>que le son aplicables</w:t>
      </w:r>
      <w:r w:rsidR="00357226" w:rsidRPr="00A61EA2">
        <w:rPr>
          <w:color w:val="000000" w:themeColor="text1"/>
          <w:lang w:val="es-CO"/>
        </w:rPr>
        <w:t xml:space="preserve">, </w:t>
      </w:r>
      <w:r w:rsidR="00D63CF4" w:rsidRPr="00A61EA2">
        <w:rPr>
          <w:color w:val="000000" w:themeColor="text1"/>
          <w:lang w:val="es-CO"/>
        </w:rPr>
        <w:t xml:space="preserve">tal </w:t>
      </w:r>
      <w:r w:rsidR="00906950">
        <w:rPr>
          <w:color w:val="000000" w:themeColor="text1"/>
          <w:lang w:val="es-CO"/>
        </w:rPr>
        <w:t>como se presentan en la Ilustración 1.</w:t>
      </w:r>
      <w:r w:rsidR="000737DA">
        <w:rPr>
          <w:color w:val="000000" w:themeColor="text1"/>
          <w:lang w:val="es-CO"/>
        </w:rPr>
        <w:t xml:space="preserve"> </w:t>
      </w:r>
    </w:p>
    <w:p w14:paraId="2B626DF4" w14:textId="77777777" w:rsidR="00DE7F16" w:rsidRPr="00EE2272" w:rsidRDefault="00DE7F16" w:rsidP="00DB3190">
      <w:pPr>
        <w:jc w:val="both"/>
        <w:rPr>
          <w:color w:val="000000" w:themeColor="text1"/>
          <w:sz w:val="18"/>
          <w:lang w:val="es-CO"/>
        </w:rPr>
      </w:pPr>
    </w:p>
    <w:p w14:paraId="20AFD814" w14:textId="12432A54" w:rsidR="003C6127" w:rsidRPr="00064AF2" w:rsidRDefault="00714CA6" w:rsidP="00DB3190">
      <w:pPr>
        <w:pStyle w:val="Descripcin"/>
        <w:spacing w:after="0"/>
        <w:rPr>
          <w:b/>
          <w:color w:val="000000" w:themeColor="text1"/>
          <w:sz w:val="22"/>
          <w:szCs w:val="22"/>
          <w:lang w:val="es-CO"/>
        </w:rPr>
      </w:pPr>
      <w:r w:rsidRPr="00064AF2">
        <w:rPr>
          <w:b/>
          <w:color w:val="000000" w:themeColor="text1"/>
          <w:sz w:val="22"/>
          <w:szCs w:val="22"/>
          <w:lang w:val="es-CO"/>
        </w:rPr>
        <w:t xml:space="preserve">Ilustración </w:t>
      </w:r>
      <w:r w:rsidRPr="00064AF2">
        <w:rPr>
          <w:b/>
          <w:color w:val="000000" w:themeColor="text1"/>
          <w:sz w:val="22"/>
          <w:szCs w:val="22"/>
          <w:lang w:val="es-CO"/>
        </w:rPr>
        <w:fldChar w:fldCharType="begin"/>
      </w:r>
      <w:r w:rsidRPr="00064AF2">
        <w:rPr>
          <w:b/>
          <w:color w:val="000000" w:themeColor="text1"/>
          <w:sz w:val="22"/>
          <w:szCs w:val="22"/>
          <w:lang w:val="es-CO"/>
        </w:rPr>
        <w:instrText xml:space="preserve"> SEQ Ilustración \* ARABIC </w:instrText>
      </w:r>
      <w:r w:rsidRPr="00064AF2">
        <w:rPr>
          <w:b/>
          <w:color w:val="000000" w:themeColor="text1"/>
          <w:sz w:val="22"/>
          <w:szCs w:val="22"/>
          <w:lang w:val="es-CO"/>
        </w:rPr>
        <w:fldChar w:fldCharType="separate"/>
      </w:r>
      <w:r w:rsidR="004D0608">
        <w:rPr>
          <w:b/>
          <w:noProof/>
          <w:color w:val="000000" w:themeColor="text1"/>
          <w:sz w:val="22"/>
          <w:szCs w:val="22"/>
          <w:lang w:val="es-CO"/>
        </w:rPr>
        <w:t>1</w:t>
      </w:r>
      <w:r w:rsidRPr="00064AF2">
        <w:rPr>
          <w:b/>
          <w:color w:val="000000" w:themeColor="text1"/>
          <w:sz w:val="22"/>
          <w:szCs w:val="22"/>
          <w:lang w:val="es-CO"/>
        </w:rPr>
        <w:fldChar w:fldCharType="end"/>
      </w:r>
      <w:r w:rsidRPr="00064AF2">
        <w:rPr>
          <w:b/>
          <w:color w:val="000000" w:themeColor="text1"/>
          <w:sz w:val="22"/>
          <w:szCs w:val="22"/>
          <w:lang w:val="es-CO"/>
        </w:rPr>
        <w:t>.</w:t>
      </w:r>
      <w:r w:rsidR="00993CD7" w:rsidRPr="00064AF2">
        <w:rPr>
          <w:b/>
          <w:color w:val="000000" w:themeColor="text1"/>
          <w:sz w:val="22"/>
          <w:szCs w:val="22"/>
          <w:lang w:val="es-CO"/>
        </w:rPr>
        <w:t xml:space="preserve"> Marco normativo que sustenta el Anteproyecto de presupuesto 2021 de la JEP</w:t>
      </w:r>
    </w:p>
    <w:p w14:paraId="2086A0D0" w14:textId="0A873469" w:rsidR="00714CA6" w:rsidRPr="00714CA6" w:rsidRDefault="00714CA6" w:rsidP="00DB3190">
      <w:r>
        <w:rPr>
          <w:noProof/>
          <w:lang w:val="es-CO" w:eastAsia="es-CO"/>
        </w:rPr>
        <w:drawing>
          <wp:inline distT="0" distB="0" distL="0" distR="0" wp14:anchorId="7A1E98F8" wp14:editId="327CC2C8">
            <wp:extent cx="6180898" cy="360000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0898" cy="3600000"/>
                    </a:xfrm>
                    <a:prstGeom prst="rect">
                      <a:avLst/>
                    </a:prstGeom>
                    <a:noFill/>
                  </pic:spPr>
                </pic:pic>
              </a:graphicData>
            </a:graphic>
          </wp:inline>
        </w:drawing>
      </w:r>
    </w:p>
    <w:p w14:paraId="35BB8805" w14:textId="617C41B3" w:rsidR="00993CD7" w:rsidRPr="0085764D" w:rsidRDefault="00EE77DD" w:rsidP="00DB3190">
      <w:pPr>
        <w:pStyle w:val="textocorrido"/>
        <w:spacing w:before="0"/>
        <w:rPr>
          <w:sz w:val="14"/>
          <w:szCs w:val="14"/>
          <w:lang w:val="es-CO"/>
        </w:rPr>
      </w:pPr>
      <w:r w:rsidRPr="0085764D">
        <w:rPr>
          <w:sz w:val="14"/>
          <w:szCs w:val="14"/>
          <w:lang w:val="es-CO"/>
        </w:rPr>
        <w:t>Elaboración: Subdirección de Planeación - JEP (2020)</w:t>
      </w:r>
    </w:p>
    <w:p w14:paraId="765E07CC" w14:textId="77777777" w:rsidR="00993CD7" w:rsidRPr="00EE2272" w:rsidRDefault="00993CD7" w:rsidP="00DB3190">
      <w:pPr>
        <w:pStyle w:val="textocorrido"/>
        <w:spacing w:before="0"/>
        <w:rPr>
          <w:lang w:val="es-CO"/>
        </w:rPr>
      </w:pPr>
    </w:p>
    <w:p w14:paraId="17DC6ECC" w14:textId="0B32C75A" w:rsidR="00357226" w:rsidRPr="00512E1C" w:rsidRDefault="005F0DFC" w:rsidP="00DB3190">
      <w:pPr>
        <w:pStyle w:val="Ttulo1"/>
        <w:widowControl w:val="0"/>
        <w:numPr>
          <w:ilvl w:val="0"/>
          <w:numId w:val="4"/>
        </w:numPr>
        <w:autoSpaceDE w:val="0"/>
        <w:autoSpaceDN w:val="0"/>
        <w:adjustRightInd w:val="0"/>
        <w:spacing w:before="0"/>
        <w:jc w:val="both"/>
        <w:rPr>
          <w:rFonts w:ascii="Palatino Linotype" w:hAnsi="Palatino Linotype" w:cs="Times New Roman (Títulos en alf"/>
          <w:b/>
          <w:sz w:val="24"/>
          <w:szCs w:val="24"/>
          <w:lang w:val="es-CO"/>
        </w:rPr>
      </w:pPr>
      <w:bookmarkStart w:id="4" w:name="_Toc36031108"/>
      <w:r w:rsidRPr="00512E1C">
        <w:rPr>
          <w:rFonts w:ascii="Palatino Linotype" w:hAnsi="Palatino Linotype" w:cs="Times New Roman (Títulos en alf"/>
          <w:b/>
          <w:sz w:val="24"/>
          <w:szCs w:val="24"/>
          <w:lang w:val="es-CO"/>
        </w:rPr>
        <w:t>PLATAFORMA ESTRATÉGICA</w:t>
      </w:r>
      <w:bookmarkEnd w:id="4"/>
    </w:p>
    <w:p w14:paraId="0D4CB733" w14:textId="77777777" w:rsidR="00865FDE" w:rsidRPr="00EE2272" w:rsidRDefault="00865FDE" w:rsidP="00DB3190">
      <w:pPr>
        <w:rPr>
          <w:sz w:val="18"/>
          <w:lang w:val="es-CO"/>
        </w:rPr>
      </w:pPr>
    </w:p>
    <w:p w14:paraId="7E9349F8" w14:textId="4BD33A46" w:rsidR="00357226" w:rsidRDefault="00865FDE" w:rsidP="00DB3190">
      <w:pPr>
        <w:jc w:val="both"/>
        <w:rPr>
          <w:lang w:val="es-CO"/>
        </w:rPr>
      </w:pPr>
      <w:r>
        <w:rPr>
          <w:lang w:val="es-CO"/>
        </w:rPr>
        <w:t>C</w:t>
      </w:r>
      <w:r w:rsidRPr="00865FDE">
        <w:rPr>
          <w:lang w:val="es-CO"/>
        </w:rPr>
        <w:t>on el fin de contar con referentes que orienten la planeación institucional</w:t>
      </w:r>
      <w:r>
        <w:rPr>
          <w:lang w:val="es-CO"/>
        </w:rPr>
        <w:t>, el Órgano de Gobierno de la Jurisdicción adoptó a</w:t>
      </w:r>
      <w:r w:rsidR="00AF45A2">
        <w:rPr>
          <w:lang w:val="es-CO"/>
        </w:rPr>
        <w:t xml:space="preserve"> través del Acuerdo 22 del 28 de marzo de 2019 la plataforma estratégica de la JEP </w:t>
      </w:r>
      <w:r w:rsidRPr="00865FDE">
        <w:rPr>
          <w:lang w:val="es-CO"/>
        </w:rPr>
        <w:t>conformada por</w:t>
      </w:r>
      <w:r>
        <w:rPr>
          <w:lang w:val="es-CO"/>
        </w:rPr>
        <w:t xml:space="preserve"> </w:t>
      </w:r>
      <w:r w:rsidRPr="00865FDE">
        <w:rPr>
          <w:lang w:val="es-CO"/>
        </w:rPr>
        <w:t>misión, visión y objetivos estratégicos que desarrollen el marco normativo y de política</w:t>
      </w:r>
      <w:r>
        <w:rPr>
          <w:lang w:val="es-CO"/>
        </w:rPr>
        <w:t xml:space="preserve"> </w:t>
      </w:r>
      <w:r w:rsidRPr="00865FDE">
        <w:rPr>
          <w:lang w:val="es-CO"/>
        </w:rPr>
        <w:t>públ</w:t>
      </w:r>
      <w:r>
        <w:rPr>
          <w:lang w:val="es-CO"/>
        </w:rPr>
        <w:t>ica aplicable a la Jurisdicción y sigue</w:t>
      </w:r>
      <w:r w:rsidRPr="00865FDE">
        <w:rPr>
          <w:lang w:val="es-CO"/>
        </w:rPr>
        <w:t xml:space="preserve"> buenas prácticas de gestión pública.</w:t>
      </w:r>
    </w:p>
    <w:p w14:paraId="7F505CEE" w14:textId="77777777" w:rsidR="00DB3155" w:rsidRPr="00EE2272" w:rsidRDefault="00DB3155" w:rsidP="00DB3190">
      <w:pPr>
        <w:jc w:val="both"/>
        <w:rPr>
          <w:sz w:val="18"/>
          <w:lang w:val="es-CO"/>
        </w:rPr>
      </w:pPr>
    </w:p>
    <w:p w14:paraId="7389A255" w14:textId="37E2C39C" w:rsidR="00357226" w:rsidRPr="00512E1C" w:rsidRDefault="005F0DFC" w:rsidP="00DB3190">
      <w:pPr>
        <w:pStyle w:val="Ttulo2"/>
        <w:widowControl w:val="0"/>
        <w:numPr>
          <w:ilvl w:val="1"/>
          <w:numId w:val="5"/>
        </w:numPr>
        <w:autoSpaceDE w:val="0"/>
        <w:autoSpaceDN w:val="0"/>
        <w:adjustRightInd w:val="0"/>
        <w:spacing w:before="0"/>
        <w:jc w:val="both"/>
        <w:rPr>
          <w:rFonts w:ascii="Palatino Linotype" w:hAnsi="Palatino Linotype"/>
          <w:b/>
          <w:sz w:val="24"/>
          <w:szCs w:val="24"/>
          <w:lang w:val="es-CO"/>
        </w:rPr>
      </w:pPr>
      <w:bookmarkStart w:id="5" w:name="_Toc36031109"/>
      <w:r w:rsidRPr="00512E1C">
        <w:rPr>
          <w:rFonts w:ascii="Palatino Linotype" w:hAnsi="Palatino Linotype"/>
          <w:b/>
          <w:sz w:val="24"/>
          <w:szCs w:val="24"/>
          <w:lang w:val="es-CO"/>
        </w:rPr>
        <w:t>MISIÓN</w:t>
      </w:r>
      <w:bookmarkEnd w:id="5"/>
    </w:p>
    <w:p w14:paraId="3AD55650" w14:textId="77777777" w:rsidR="00FB7D0C" w:rsidRPr="00EE2272" w:rsidRDefault="00FB7D0C" w:rsidP="00DB3190">
      <w:pPr>
        <w:widowControl w:val="0"/>
        <w:autoSpaceDE w:val="0"/>
        <w:autoSpaceDN w:val="0"/>
        <w:adjustRightInd w:val="0"/>
        <w:jc w:val="both"/>
        <w:rPr>
          <w:color w:val="000000" w:themeColor="text1"/>
          <w:sz w:val="18"/>
          <w:lang w:val="es-CO"/>
        </w:rPr>
      </w:pPr>
    </w:p>
    <w:p w14:paraId="690E11E5" w14:textId="77348A3A" w:rsidR="00FB7D0C" w:rsidRDefault="00FB7D0C" w:rsidP="00DB3190">
      <w:pPr>
        <w:widowControl w:val="0"/>
        <w:autoSpaceDE w:val="0"/>
        <w:autoSpaceDN w:val="0"/>
        <w:adjustRightInd w:val="0"/>
        <w:jc w:val="both"/>
        <w:rPr>
          <w:color w:val="000000" w:themeColor="text1"/>
          <w:lang w:val="es-CO"/>
        </w:rPr>
      </w:pPr>
      <w:r>
        <w:rPr>
          <w:color w:val="000000" w:themeColor="text1"/>
          <w:lang w:val="es-CO"/>
        </w:rPr>
        <w:t>A</w:t>
      </w:r>
      <w:r w:rsidRPr="00FB7D0C">
        <w:rPr>
          <w:color w:val="000000" w:themeColor="text1"/>
          <w:lang w:val="es-CO"/>
        </w:rPr>
        <w:t>dministrar justicia para consolidar la transición</w:t>
      </w:r>
      <w:r>
        <w:rPr>
          <w:color w:val="000000" w:themeColor="text1"/>
          <w:lang w:val="es-CO"/>
        </w:rPr>
        <w:t xml:space="preserve"> </w:t>
      </w:r>
      <w:r w:rsidRPr="00FB7D0C">
        <w:rPr>
          <w:color w:val="000000" w:themeColor="text1"/>
          <w:lang w:val="es-CO"/>
        </w:rPr>
        <w:t>hacia la paz y restaurar el tejido social, garantizando los derechos de las víctimas y la</w:t>
      </w:r>
      <w:r>
        <w:rPr>
          <w:color w:val="000000" w:themeColor="text1"/>
          <w:lang w:val="es-CO"/>
        </w:rPr>
        <w:t xml:space="preserve"> </w:t>
      </w:r>
      <w:r w:rsidRPr="00FB7D0C">
        <w:rPr>
          <w:color w:val="000000" w:themeColor="text1"/>
          <w:lang w:val="es-CO"/>
        </w:rPr>
        <w:t>seguridad jurídica de los comparecientes, con enfoque territorial, diferencial y de</w:t>
      </w:r>
      <w:r>
        <w:rPr>
          <w:color w:val="000000" w:themeColor="text1"/>
          <w:lang w:val="es-CO"/>
        </w:rPr>
        <w:t xml:space="preserve"> </w:t>
      </w:r>
      <w:r w:rsidRPr="00FB7D0C">
        <w:rPr>
          <w:color w:val="000000" w:themeColor="text1"/>
          <w:lang w:val="es-CO"/>
        </w:rPr>
        <w:t>género.</w:t>
      </w:r>
    </w:p>
    <w:p w14:paraId="201C7F9B" w14:textId="5BD171CE" w:rsidR="00357226" w:rsidRPr="00A61EA2" w:rsidRDefault="00357226" w:rsidP="00DB3190">
      <w:pPr>
        <w:pStyle w:val="Prrafodelista"/>
        <w:widowControl w:val="0"/>
        <w:autoSpaceDE w:val="0"/>
        <w:autoSpaceDN w:val="0"/>
        <w:adjustRightInd w:val="0"/>
        <w:jc w:val="both"/>
        <w:rPr>
          <w:color w:val="000000" w:themeColor="text1"/>
          <w:lang w:val="es-CO"/>
        </w:rPr>
      </w:pPr>
      <w:r w:rsidRPr="00A61EA2">
        <w:rPr>
          <w:color w:val="000000" w:themeColor="text1"/>
          <w:lang w:val="es-CO"/>
        </w:rPr>
        <w:t xml:space="preserve"> </w:t>
      </w:r>
    </w:p>
    <w:p w14:paraId="39CB9186" w14:textId="6D324A29" w:rsidR="005F0DFC" w:rsidRPr="00512E1C" w:rsidRDefault="005F0DFC" w:rsidP="00DB3190">
      <w:pPr>
        <w:pStyle w:val="Ttulo2"/>
        <w:widowControl w:val="0"/>
        <w:numPr>
          <w:ilvl w:val="1"/>
          <w:numId w:val="5"/>
        </w:numPr>
        <w:autoSpaceDE w:val="0"/>
        <w:autoSpaceDN w:val="0"/>
        <w:adjustRightInd w:val="0"/>
        <w:spacing w:before="0"/>
        <w:jc w:val="both"/>
        <w:rPr>
          <w:rFonts w:ascii="Palatino Linotype" w:hAnsi="Palatino Linotype"/>
          <w:b/>
          <w:sz w:val="24"/>
          <w:szCs w:val="24"/>
          <w:lang w:val="es-CO"/>
        </w:rPr>
      </w:pPr>
      <w:bookmarkStart w:id="6" w:name="_Toc36031110"/>
      <w:r w:rsidRPr="00512E1C">
        <w:rPr>
          <w:rFonts w:ascii="Palatino Linotype" w:hAnsi="Palatino Linotype"/>
          <w:b/>
          <w:sz w:val="24"/>
          <w:szCs w:val="24"/>
          <w:lang w:val="es-CO"/>
        </w:rPr>
        <w:t>VISIÓN</w:t>
      </w:r>
      <w:bookmarkEnd w:id="6"/>
    </w:p>
    <w:p w14:paraId="00582C2A" w14:textId="77777777" w:rsidR="00357226" w:rsidRPr="00EE2272" w:rsidRDefault="00357226" w:rsidP="00DB3190">
      <w:pPr>
        <w:rPr>
          <w:color w:val="000000" w:themeColor="text1"/>
          <w:sz w:val="18"/>
          <w:lang w:val="es-CO"/>
        </w:rPr>
      </w:pPr>
    </w:p>
    <w:p w14:paraId="35A7C317" w14:textId="20D44358" w:rsidR="00FB7D0C" w:rsidRDefault="00DB3155" w:rsidP="00DB3190">
      <w:pPr>
        <w:autoSpaceDE w:val="0"/>
        <w:autoSpaceDN w:val="0"/>
        <w:adjustRightInd w:val="0"/>
        <w:jc w:val="both"/>
        <w:rPr>
          <w:color w:val="000000" w:themeColor="text1"/>
          <w:lang w:val="es-CO"/>
        </w:rPr>
      </w:pPr>
      <w:r>
        <w:rPr>
          <w:color w:val="000000" w:themeColor="text1"/>
          <w:lang w:val="es-CO"/>
        </w:rPr>
        <w:t xml:space="preserve">A 2033 se </w:t>
      </w:r>
      <w:r w:rsidRPr="00DB3155">
        <w:rPr>
          <w:color w:val="000000" w:themeColor="text1"/>
          <w:lang w:val="es-CO"/>
        </w:rPr>
        <w:t>h</w:t>
      </w:r>
      <w:r>
        <w:rPr>
          <w:color w:val="000000" w:themeColor="text1"/>
          <w:lang w:val="es-CO"/>
        </w:rPr>
        <w:t>abrá</w:t>
      </w:r>
      <w:r w:rsidRPr="00DB3155">
        <w:rPr>
          <w:color w:val="000000" w:themeColor="text1"/>
          <w:lang w:val="es-CO"/>
        </w:rPr>
        <w:t xml:space="preserve"> </w:t>
      </w:r>
      <w:r w:rsidR="00C52C17">
        <w:rPr>
          <w:color w:val="000000" w:themeColor="text1"/>
          <w:lang w:val="es-CO"/>
        </w:rPr>
        <w:t xml:space="preserve">hecho </w:t>
      </w:r>
      <w:r w:rsidRPr="00DB3155">
        <w:rPr>
          <w:color w:val="000000" w:themeColor="text1"/>
          <w:lang w:val="es-CO"/>
        </w:rPr>
        <w:t>justicia, esclareciendo y</w:t>
      </w:r>
      <w:r>
        <w:rPr>
          <w:color w:val="000000" w:themeColor="text1"/>
          <w:lang w:val="es-CO"/>
        </w:rPr>
        <w:t xml:space="preserve"> </w:t>
      </w:r>
      <w:r w:rsidRPr="00DB3155">
        <w:rPr>
          <w:color w:val="000000" w:themeColor="text1"/>
          <w:lang w:val="es-CO"/>
        </w:rPr>
        <w:t>estableciendo las responsabilidades penales individuales sobre los crímenes más graves</w:t>
      </w:r>
      <w:r>
        <w:rPr>
          <w:color w:val="000000" w:themeColor="text1"/>
          <w:lang w:val="es-CO"/>
        </w:rPr>
        <w:t xml:space="preserve"> </w:t>
      </w:r>
      <w:r w:rsidRPr="00DB3155">
        <w:rPr>
          <w:color w:val="000000" w:themeColor="text1"/>
          <w:lang w:val="es-CO"/>
        </w:rPr>
        <w:t>y representativos cometidos durante el conflicto armado colombiano y resolviendo la</w:t>
      </w:r>
      <w:r>
        <w:rPr>
          <w:color w:val="000000" w:themeColor="text1"/>
          <w:lang w:val="es-CO"/>
        </w:rPr>
        <w:t xml:space="preserve"> </w:t>
      </w:r>
      <w:r w:rsidRPr="00DB3155">
        <w:rPr>
          <w:color w:val="000000" w:themeColor="text1"/>
          <w:lang w:val="es-CO"/>
        </w:rPr>
        <w:t>situación jurídica de todos los comparecientes a la JEP, contribuyendo así a la</w:t>
      </w:r>
      <w:r>
        <w:rPr>
          <w:color w:val="000000" w:themeColor="text1"/>
          <w:lang w:val="es-CO"/>
        </w:rPr>
        <w:t xml:space="preserve"> </w:t>
      </w:r>
      <w:r w:rsidRPr="00DB3155">
        <w:rPr>
          <w:color w:val="000000" w:themeColor="text1"/>
          <w:lang w:val="es-CO"/>
        </w:rPr>
        <w:t>construcción de la paz y la reconciliación nacional.</w:t>
      </w:r>
    </w:p>
    <w:p w14:paraId="490A25F3" w14:textId="77777777" w:rsidR="00DB3155" w:rsidRPr="00EE2272" w:rsidRDefault="00DB3155" w:rsidP="00DB3190">
      <w:pPr>
        <w:autoSpaceDE w:val="0"/>
        <w:autoSpaceDN w:val="0"/>
        <w:adjustRightInd w:val="0"/>
        <w:jc w:val="both"/>
        <w:rPr>
          <w:sz w:val="18"/>
          <w:lang w:val="es-CO"/>
        </w:rPr>
      </w:pPr>
    </w:p>
    <w:p w14:paraId="51A30573" w14:textId="76E1E755" w:rsidR="00357226" w:rsidRPr="00512E1C" w:rsidRDefault="00357226" w:rsidP="00DB3190">
      <w:pPr>
        <w:pStyle w:val="Ttulo2"/>
        <w:widowControl w:val="0"/>
        <w:numPr>
          <w:ilvl w:val="1"/>
          <w:numId w:val="5"/>
        </w:numPr>
        <w:autoSpaceDE w:val="0"/>
        <w:autoSpaceDN w:val="0"/>
        <w:adjustRightInd w:val="0"/>
        <w:spacing w:before="0"/>
        <w:jc w:val="both"/>
        <w:rPr>
          <w:rFonts w:ascii="Palatino Linotype" w:hAnsi="Palatino Linotype"/>
          <w:b/>
          <w:sz w:val="24"/>
          <w:szCs w:val="24"/>
          <w:lang w:val="es-CO"/>
        </w:rPr>
      </w:pPr>
      <w:bookmarkStart w:id="7" w:name="_Toc509835307"/>
      <w:bookmarkStart w:id="8" w:name="_Toc36031111"/>
      <w:r w:rsidRPr="00512E1C">
        <w:rPr>
          <w:rFonts w:ascii="Palatino Linotype" w:hAnsi="Palatino Linotype"/>
          <w:b/>
          <w:sz w:val="24"/>
          <w:szCs w:val="24"/>
          <w:lang w:val="es-CO"/>
        </w:rPr>
        <w:lastRenderedPageBreak/>
        <w:t xml:space="preserve">OBJETIVOS </w:t>
      </w:r>
      <w:bookmarkEnd w:id="7"/>
      <w:r w:rsidR="005F0DFC" w:rsidRPr="00512E1C">
        <w:rPr>
          <w:rFonts w:ascii="Palatino Linotype" w:hAnsi="Palatino Linotype"/>
          <w:b/>
          <w:sz w:val="24"/>
          <w:szCs w:val="24"/>
          <w:lang w:val="es-CO"/>
        </w:rPr>
        <w:t>ESTRATÉGICOS</w:t>
      </w:r>
      <w:r w:rsidR="00C52C17" w:rsidRPr="00512E1C">
        <w:rPr>
          <w:rStyle w:val="Refdenotaalpie"/>
          <w:rFonts w:ascii="Palatino Linotype" w:hAnsi="Palatino Linotype"/>
          <w:b/>
          <w:sz w:val="24"/>
          <w:szCs w:val="24"/>
          <w:lang w:val="es-CO"/>
        </w:rPr>
        <w:footnoteReference w:id="2"/>
      </w:r>
      <w:bookmarkEnd w:id="8"/>
    </w:p>
    <w:p w14:paraId="26E049E4" w14:textId="77777777" w:rsidR="00480C16" w:rsidRPr="00EE2272" w:rsidRDefault="00480C16" w:rsidP="00DB3190">
      <w:pPr>
        <w:rPr>
          <w:sz w:val="18"/>
          <w:lang w:val="es-CO"/>
        </w:rPr>
      </w:pPr>
    </w:p>
    <w:p w14:paraId="25C14BA3" w14:textId="6A1D3272" w:rsidR="00DB3155" w:rsidRPr="002421E9" w:rsidRDefault="00DB3155" w:rsidP="00DB3190">
      <w:pPr>
        <w:pStyle w:val="Prrafodelista"/>
        <w:widowControl w:val="0"/>
        <w:numPr>
          <w:ilvl w:val="0"/>
          <w:numId w:val="29"/>
        </w:numPr>
        <w:autoSpaceDE w:val="0"/>
        <w:autoSpaceDN w:val="0"/>
        <w:adjustRightInd w:val="0"/>
        <w:jc w:val="both"/>
        <w:rPr>
          <w:b/>
          <w:color w:val="000000" w:themeColor="text1"/>
          <w:lang w:val="es-CO"/>
        </w:rPr>
      </w:pPr>
      <w:r w:rsidRPr="002421E9">
        <w:rPr>
          <w:b/>
          <w:color w:val="2F5496" w:themeColor="accent1" w:themeShade="BF"/>
          <w:lang w:val="es-CO"/>
        </w:rPr>
        <w:t>Primer Objetivo</w:t>
      </w:r>
      <w:r w:rsidR="00C15C3C">
        <w:rPr>
          <w:b/>
          <w:color w:val="2F5496" w:themeColor="accent1" w:themeShade="BF"/>
          <w:lang w:val="es-CO"/>
        </w:rPr>
        <w:t xml:space="preserve"> Estratégico</w:t>
      </w:r>
      <w:r w:rsidRPr="002421E9">
        <w:rPr>
          <w:b/>
          <w:color w:val="2F5496" w:themeColor="accent1" w:themeShade="BF"/>
          <w:lang w:val="es-CO"/>
        </w:rPr>
        <w:t xml:space="preserve">: </w:t>
      </w:r>
      <w:r w:rsidRPr="002421E9">
        <w:rPr>
          <w:b/>
          <w:color w:val="000000" w:themeColor="text1"/>
          <w:lang w:val="es-CO"/>
        </w:rPr>
        <w:t>Investigar, juzgar y sancionar los crímenes más graves y representativos ocurridos en el conflicto, priorizados por la Jurisdicción.</w:t>
      </w:r>
    </w:p>
    <w:p w14:paraId="6F1765F1" w14:textId="77777777" w:rsidR="00316DB9" w:rsidRPr="00EE2272" w:rsidRDefault="00316DB9" w:rsidP="00DB3190">
      <w:pPr>
        <w:widowControl w:val="0"/>
        <w:autoSpaceDE w:val="0"/>
        <w:autoSpaceDN w:val="0"/>
        <w:adjustRightInd w:val="0"/>
        <w:jc w:val="both"/>
        <w:rPr>
          <w:color w:val="000000" w:themeColor="text1"/>
          <w:sz w:val="18"/>
          <w:lang w:val="es-CO"/>
        </w:rPr>
      </w:pPr>
    </w:p>
    <w:p w14:paraId="188C8DD7" w14:textId="14BC30D3" w:rsidR="00693BE3" w:rsidRDefault="00F932A6" w:rsidP="00DB3190">
      <w:pPr>
        <w:ind w:left="357"/>
        <w:jc w:val="both"/>
        <w:rPr>
          <w:lang w:val="es-CO"/>
        </w:rPr>
      </w:pPr>
      <w:r>
        <w:rPr>
          <w:lang w:val="es-CO"/>
        </w:rPr>
        <w:t>Éste puede ser comprendido como un objetivo misional, en el que l</w:t>
      </w:r>
      <w:r w:rsidR="001E01CC">
        <w:rPr>
          <w:lang w:val="es-CO"/>
        </w:rPr>
        <w:t xml:space="preserve">as acciones de investigación, juzgamiento y sanción recaen principalmente en el Tribunal de Paz, </w:t>
      </w:r>
      <w:r w:rsidR="00A43FA2">
        <w:rPr>
          <w:lang w:val="es-CO"/>
        </w:rPr>
        <w:t>la Sala</w:t>
      </w:r>
      <w:r w:rsidR="001E01CC">
        <w:rPr>
          <w:lang w:val="es-CO"/>
        </w:rPr>
        <w:t xml:space="preserve"> </w:t>
      </w:r>
      <w:r w:rsidR="00A43FA2">
        <w:rPr>
          <w:lang w:val="es-CO"/>
        </w:rPr>
        <w:t>de</w:t>
      </w:r>
      <w:r w:rsidR="00A43FA2" w:rsidRPr="00693BE3">
        <w:rPr>
          <w:lang w:val="es-CO"/>
        </w:rPr>
        <w:t xml:space="preserve"> Reconocimiento </w:t>
      </w:r>
      <w:r w:rsidR="00A43FA2">
        <w:rPr>
          <w:lang w:val="es-CO"/>
        </w:rPr>
        <w:t xml:space="preserve">de </w:t>
      </w:r>
      <w:r w:rsidR="00A43FA2" w:rsidRPr="00693BE3">
        <w:rPr>
          <w:lang w:val="es-CO"/>
        </w:rPr>
        <w:t>Verdad, Responsabilidad y Determinación de los Hechos y Conductas</w:t>
      </w:r>
      <w:r w:rsidR="00A43FA2">
        <w:rPr>
          <w:lang w:val="es-CO"/>
        </w:rPr>
        <w:t xml:space="preserve"> </w:t>
      </w:r>
      <w:r w:rsidR="001E01CC">
        <w:rPr>
          <w:lang w:val="es-CO"/>
        </w:rPr>
        <w:t>y la Unidad de Investigación y Acusación (UIA)</w:t>
      </w:r>
      <w:r w:rsidR="00A43FA2">
        <w:rPr>
          <w:rStyle w:val="Refdenotaalpie"/>
          <w:lang w:val="es-CO"/>
        </w:rPr>
        <w:footnoteReference w:id="3"/>
      </w:r>
      <w:r w:rsidR="001E01CC">
        <w:rPr>
          <w:lang w:val="es-CO"/>
        </w:rPr>
        <w:t xml:space="preserve">. </w:t>
      </w:r>
      <w:r w:rsidR="00FA027E">
        <w:rPr>
          <w:lang w:val="es-CO"/>
        </w:rPr>
        <w:t>Adicionalmente, participa</w:t>
      </w:r>
      <w:r w:rsidR="002449A6">
        <w:rPr>
          <w:lang w:val="es-CO"/>
        </w:rPr>
        <w:t xml:space="preserve"> la Secretaría</w:t>
      </w:r>
      <w:r w:rsidR="00943BA4">
        <w:rPr>
          <w:lang w:val="es-CO"/>
        </w:rPr>
        <w:t xml:space="preserve"> Ejecutiva</w:t>
      </w:r>
      <w:r w:rsidR="00E9734B">
        <w:rPr>
          <w:lang w:val="es-CO"/>
        </w:rPr>
        <w:t xml:space="preserve"> para brindar mecanismos de acceso a la justicia</w:t>
      </w:r>
      <w:r w:rsidR="002449A6">
        <w:rPr>
          <w:lang w:val="es-CO"/>
        </w:rPr>
        <w:t>, tales como la defensa a comparecientes y la representación a víctimas.</w:t>
      </w:r>
      <w:r w:rsidR="00943BA4">
        <w:rPr>
          <w:lang w:val="es-CO"/>
        </w:rPr>
        <w:t xml:space="preserve"> </w:t>
      </w:r>
    </w:p>
    <w:p w14:paraId="74ED35A6" w14:textId="2F0CFFF4" w:rsidR="009D58A3" w:rsidRPr="00693BE3" w:rsidRDefault="009D58A3" w:rsidP="00DB3190">
      <w:pPr>
        <w:ind w:left="357"/>
        <w:jc w:val="both"/>
        <w:rPr>
          <w:lang w:val="es-CO"/>
        </w:rPr>
      </w:pPr>
    </w:p>
    <w:p w14:paraId="78728552" w14:textId="7695D80F" w:rsidR="00316DB9" w:rsidRDefault="00316DB9" w:rsidP="00DB3190">
      <w:pPr>
        <w:ind w:left="357"/>
        <w:jc w:val="both"/>
        <w:rPr>
          <w:lang w:val="es-CO"/>
        </w:rPr>
      </w:pPr>
      <w:r w:rsidRPr="00397DA4">
        <w:rPr>
          <w:lang w:val="es-CO"/>
        </w:rPr>
        <w:t xml:space="preserve">Ante la gran cantidad de hechos cometidos en el marco del conflicto armado, la Sala de Reconocimiento </w:t>
      </w:r>
      <w:r>
        <w:rPr>
          <w:lang w:val="es-CO"/>
        </w:rPr>
        <w:t xml:space="preserve">Verdad, Responsabilidad y </w:t>
      </w:r>
      <w:r w:rsidRPr="004860F8">
        <w:rPr>
          <w:lang w:val="es-CO"/>
        </w:rPr>
        <w:t>Determinación de los Hechos y Conductas</w:t>
      </w:r>
      <w:r>
        <w:rPr>
          <w:rStyle w:val="Refdenotaalpie"/>
          <w:lang w:val="es-CO"/>
        </w:rPr>
        <w:footnoteReference w:id="4"/>
      </w:r>
      <w:r>
        <w:rPr>
          <w:lang w:val="es-CO"/>
        </w:rPr>
        <w:t xml:space="preserve"> </w:t>
      </w:r>
      <w:r w:rsidR="006952A5">
        <w:rPr>
          <w:lang w:val="es-CO"/>
        </w:rPr>
        <w:t>estableció los criterios de priorización frente a los casos</w:t>
      </w:r>
      <w:r>
        <w:rPr>
          <w:lang w:val="es-CO"/>
        </w:rPr>
        <w:t>, esto en virtud del artículo transitorio 7 del Acto legislativo 1 de abril de 2017. Hasta la fecha se tienen abiertos los siguientes 7 macro</w:t>
      </w:r>
      <w:r w:rsidR="005F765C">
        <w:rPr>
          <w:lang w:val="es-CO"/>
        </w:rPr>
        <w:t xml:space="preserve"> - </w:t>
      </w:r>
      <w:r>
        <w:rPr>
          <w:lang w:val="es-CO"/>
        </w:rPr>
        <w:t>casos:</w:t>
      </w:r>
    </w:p>
    <w:p w14:paraId="5C718C27" w14:textId="77777777" w:rsidR="00316DB9" w:rsidRDefault="00316DB9" w:rsidP="00DB3190">
      <w:pPr>
        <w:ind w:left="357"/>
        <w:jc w:val="both"/>
        <w:rPr>
          <w:lang w:val="es-CO"/>
        </w:rPr>
      </w:pPr>
    </w:p>
    <w:p w14:paraId="0B1AADA1" w14:textId="77777777" w:rsidR="00316DB9" w:rsidRDefault="00316DB9" w:rsidP="00DB3190">
      <w:pPr>
        <w:pStyle w:val="Prrafodelista"/>
        <w:numPr>
          <w:ilvl w:val="0"/>
          <w:numId w:val="30"/>
        </w:numPr>
        <w:jc w:val="both"/>
        <w:rPr>
          <w:lang w:val="es-CO"/>
        </w:rPr>
      </w:pPr>
      <w:r w:rsidRPr="00D42408">
        <w:rPr>
          <w:lang w:val="es-CO"/>
        </w:rPr>
        <w:t xml:space="preserve">Caso 001 (abierto el 6 de julio de 2018) </w:t>
      </w:r>
      <w:r>
        <w:rPr>
          <w:lang w:val="es-CO"/>
        </w:rPr>
        <w:t xml:space="preserve">- </w:t>
      </w:r>
      <w:r w:rsidRPr="00D42408">
        <w:rPr>
          <w:lang w:val="es-CO"/>
        </w:rPr>
        <w:t>Retención ilegal de personas por parte de las FARC-EP</w:t>
      </w:r>
    </w:p>
    <w:p w14:paraId="1983BDD3" w14:textId="77777777" w:rsidR="00316DB9" w:rsidRDefault="00316DB9" w:rsidP="00DB3190">
      <w:pPr>
        <w:pStyle w:val="Prrafodelista"/>
        <w:numPr>
          <w:ilvl w:val="0"/>
          <w:numId w:val="30"/>
        </w:numPr>
        <w:jc w:val="both"/>
        <w:rPr>
          <w:lang w:val="es-CO"/>
        </w:rPr>
      </w:pPr>
      <w:r w:rsidRPr="00D42408">
        <w:rPr>
          <w:lang w:val="es-CO"/>
        </w:rPr>
        <w:t>Caso 002 (abierto el 10 de julio de 2018)</w:t>
      </w:r>
      <w:r>
        <w:rPr>
          <w:lang w:val="es-CO"/>
        </w:rPr>
        <w:t xml:space="preserve"> - </w:t>
      </w:r>
      <w:r w:rsidRPr="00D42408">
        <w:rPr>
          <w:lang w:val="es-CO"/>
        </w:rPr>
        <w:t>Prioriza la grave situación de derechos humanos padecida por la población de los municipios de Tumaco, Ricaurte y Barbacoas (Nariño)</w:t>
      </w:r>
    </w:p>
    <w:p w14:paraId="6E16144D" w14:textId="77777777" w:rsidR="00316DB9" w:rsidRDefault="00316DB9" w:rsidP="00DB3190">
      <w:pPr>
        <w:pStyle w:val="Prrafodelista"/>
        <w:numPr>
          <w:ilvl w:val="0"/>
          <w:numId w:val="30"/>
        </w:numPr>
        <w:jc w:val="both"/>
        <w:rPr>
          <w:lang w:val="es-CO"/>
        </w:rPr>
      </w:pPr>
      <w:r w:rsidRPr="00D42408">
        <w:rPr>
          <w:lang w:val="es-CO"/>
        </w:rPr>
        <w:t>Caso 003 (</w:t>
      </w:r>
      <w:r>
        <w:rPr>
          <w:lang w:val="es-CO"/>
        </w:rPr>
        <w:t xml:space="preserve">abierto el 17 de julio de 2018) - </w:t>
      </w:r>
      <w:r w:rsidRPr="00D42408">
        <w:rPr>
          <w:lang w:val="es-CO"/>
        </w:rPr>
        <w:t>Sobre muertes ilegítimamente presentadas como bajas en combate por agentes del Estado</w:t>
      </w:r>
    </w:p>
    <w:p w14:paraId="6015C734" w14:textId="77777777" w:rsidR="00316DB9" w:rsidRDefault="00316DB9" w:rsidP="00DB3190">
      <w:pPr>
        <w:pStyle w:val="Prrafodelista"/>
        <w:numPr>
          <w:ilvl w:val="0"/>
          <w:numId w:val="30"/>
        </w:numPr>
        <w:jc w:val="both"/>
        <w:rPr>
          <w:lang w:val="es-CO"/>
        </w:rPr>
      </w:pPr>
      <w:r w:rsidRPr="00D42408">
        <w:rPr>
          <w:lang w:val="es-CO"/>
        </w:rPr>
        <w:t xml:space="preserve">Caso 004 (abierto el 11 de septiembre de 2018) </w:t>
      </w:r>
      <w:r>
        <w:rPr>
          <w:lang w:val="es-CO"/>
        </w:rPr>
        <w:t xml:space="preserve">- </w:t>
      </w:r>
      <w:r w:rsidRPr="00D42408">
        <w:rPr>
          <w:lang w:val="es-CO"/>
        </w:rPr>
        <w:t>Prioriza la situación humanitaria de los municipios de Turbo, Apartadó, Carepa, Chigorodó, Mutatá, Dabeiba (Antioquia) y El Carmen del Darién, Riosucio, Unguía y Acandí (Chocó)</w:t>
      </w:r>
    </w:p>
    <w:p w14:paraId="3E881232" w14:textId="77777777" w:rsidR="00316DB9" w:rsidRDefault="00316DB9" w:rsidP="00DB3190">
      <w:pPr>
        <w:pStyle w:val="Prrafodelista"/>
        <w:numPr>
          <w:ilvl w:val="0"/>
          <w:numId w:val="30"/>
        </w:numPr>
        <w:jc w:val="both"/>
        <w:rPr>
          <w:lang w:val="es-CO"/>
        </w:rPr>
      </w:pPr>
      <w:r w:rsidRPr="00D42408">
        <w:rPr>
          <w:lang w:val="es-CO"/>
        </w:rPr>
        <w:t>Caso 005 (abierto el 8 de noviembre de 2018)</w:t>
      </w:r>
      <w:r>
        <w:rPr>
          <w:lang w:val="es-CO"/>
        </w:rPr>
        <w:t xml:space="preserve"> - </w:t>
      </w:r>
      <w:r w:rsidRPr="00D42408">
        <w:rPr>
          <w:lang w:val="es-CO"/>
        </w:rPr>
        <w:t xml:space="preserve">Prioriza la situación humanitaria de los municipios de Santander de Quilichao, Suárez, Buenos Aires, Morales, Caloto, Corinto, Toribio y Caldono (Cauca) </w:t>
      </w:r>
    </w:p>
    <w:p w14:paraId="3C36DCFA" w14:textId="6D8EC031" w:rsidR="005F765C" w:rsidRDefault="00316DB9">
      <w:pPr>
        <w:pStyle w:val="Prrafodelista"/>
        <w:numPr>
          <w:ilvl w:val="0"/>
          <w:numId w:val="30"/>
        </w:numPr>
        <w:jc w:val="both"/>
        <w:rPr>
          <w:lang w:val="es-CO"/>
        </w:rPr>
      </w:pPr>
      <w:r w:rsidRPr="005F765C">
        <w:rPr>
          <w:lang w:val="es-CO"/>
        </w:rPr>
        <w:lastRenderedPageBreak/>
        <w:t>Caso 006 (abierto el 4 de marzo de 2019) - Victimización de miembros de la Unión Patriótica (UP)</w:t>
      </w:r>
    </w:p>
    <w:p w14:paraId="74981B66" w14:textId="77777777" w:rsidR="00316DB9" w:rsidRPr="005F765C" w:rsidRDefault="00316DB9">
      <w:pPr>
        <w:pStyle w:val="Prrafodelista"/>
        <w:numPr>
          <w:ilvl w:val="0"/>
          <w:numId w:val="30"/>
        </w:numPr>
        <w:jc w:val="both"/>
        <w:rPr>
          <w:lang w:val="es-CO"/>
        </w:rPr>
      </w:pPr>
      <w:r w:rsidRPr="005F765C">
        <w:rPr>
          <w:lang w:val="es-CO"/>
        </w:rPr>
        <w:t>Caso 007 (abierto el 6 de marzo de 2019) - Reclutamiento y utilización de niñas y niños en el conflicto armado colombiano</w:t>
      </w:r>
    </w:p>
    <w:p w14:paraId="20C40E4E" w14:textId="77777777" w:rsidR="00B27C05" w:rsidRDefault="00B27C05" w:rsidP="00DB3190">
      <w:pPr>
        <w:jc w:val="both"/>
        <w:rPr>
          <w:lang w:val="es-CO"/>
        </w:rPr>
      </w:pPr>
    </w:p>
    <w:p w14:paraId="07E7615C" w14:textId="78CECF37" w:rsidR="001C228C" w:rsidRDefault="008222B8" w:rsidP="00DB3190">
      <w:pPr>
        <w:jc w:val="both"/>
        <w:rPr>
          <w:lang w:val="es-CO"/>
        </w:rPr>
      </w:pPr>
      <w:r>
        <w:rPr>
          <w:lang w:val="es-CO"/>
        </w:rPr>
        <w:t xml:space="preserve">Como parte del procedimiento en estos macro casos se han realizado 33 </w:t>
      </w:r>
      <w:r w:rsidR="001C228C" w:rsidRPr="008222B8">
        <w:rPr>
          <w:lang w:val="es-CO"/>
        </w:rPr>
        <w:t>diligencias de construcción dialógica de la verdad</w:t>
      </w:r>
      <w:r w:rsidR="001C228C">
        <w:rPr>
          <w:lang w:val="es-CO"/>
        </w:rPr>
        <w:t xml:space="preserve">, 29 como parte del macro caso 002 y 4 en el macro caso 004. También se han realizado versiones voluntarias logrando </w:t>
      </w:r>
      <w:r w:rsidR="001C228C" w:rsidRPr="001C228C">
        <w:rPr>
          <w:lang w:val="es-CO"/>
        </w:rPr>
        <w:t xml:space="preserve">350 personas versionados </w:t>
      </w:r>
      <w:r w:rsidR="001C228C">
        <w:rPr>
          <w:lang w:val="es-CO"/>
        </w:rPr>
        <w:t xml:space="preserve">en el macro caso 001, </w:t>
      </w:r>
      <w:r w:rsidR="001C228C" w:rsidRPr="001C228C">
        <w:rPr>
          <w:lang w:val="es-CO"/>
        </w:rPr>
        <w:t>de los cuales 187 asistieron presencialmente a las diligencias de versión</w:t>
      </w:r>
      <w:r w:rsidR="005911B1">
        <w:rPr>
          <w:lang w:val="es-CO"/>
        </w:rPr>
        <w:t>, 31 versiones en el caso 002, 217 versiones en el caso 003, 25 versiones en el caso 004, y 12 en el caso 005</w:t>
      </w:r>
      <w:r w:rsidR="00ED2E52">
        <w:rPr>
          <w:rStyle w:val="Refdenotaalpie"/>
          <w:lang w:val="es-CO"/>
        </w:rPr>
        <w:footnoteReference w:id="5"/>
      </w:r>
      <w:r w:rsidR="005911B1">
        <w:rPr>
          <w:lang w:val="es-CO"/>
        </w:rPr>
        <w:t xml:space="preserve">. </w:t>
      </w:r>
    </w:p>
    <w:p w14:paraId="485C54F7" w14:textId="77777777" w:rsidR="00AA09DB" w:rsidRDefault="00AA09DB" w:rsidP="00DB3190">
      <w:pPr>
        <w:jc w:val="both"/>
        <w:rPr>
          <w:lang w:val="es-CO"/>
        </w:rPr>
      </w:pPr>
    </w:p>
    <w:p w14:paraId="193466E4" w14:textId="6EAF6111" w:rsidR="00AA09DB" w:rsidRPr="001C228C" w:rsidRDefault="00AA09DB" w:rsidP="00DB3190">
      <w:pPr>
        <w:jc w:val="both"/>
        <w:rPr>
          <w:lang w:val="es-CO"/>
        </w:rPr>
      </w:pPr>
      <w:r>
        <w:rPr>
          <w:lang w:val="es-CO"/>
        </w:rPr>
        <w:t xml:space="preserve">Como avances en los resultados de la labor realizada por la Sala </w:t>
      </w:r>
      <w:r w:rsidRPr="00397DA4">
        <w:rPr>
          <w:lang w:val="es-CO"/>
        </w:rPr>
        <w:t>de Reconocimiento</w:t>
      </w:r>
      <w:r>
        <w:rPr>
          <w:lang w:val="es-CO"/>
        </w:rPr>
        <w:t xml:space="preserve"> de Verdad, Responsabilidad y </w:t>
      </w:r>
      <w:r w:rsidRPr="004860F8">
        <w:rPr>
          <w:lang w:val="es-CO"/>
        </w:rPr>
        <w:t>Determinación de los Hechos y Conductas</w:t>
      </w:r>
      <w:r w:rsidR="005E0521">
        <w:rPr>
          <w:lang w:val="es-CO"/>
        </w:rPr>
        <w:t xml:space="preserve"> se tiene 1815 decisiones judiciales en relación con los 7 macro casos en proceso</w:t>
      </w:r>
      <w:r w:rsidR="000651BD">
        <w:rPr>
          <w:lang w:val="es-CO"/>
        </w:rPr>
        <w:t xml:space="preserve"> (Ver Ilustración 2)</w:t>
      </w:r>
      <w:r w:rsidR="005E0521">
        <w:rPr>
          <w:lang w:val="es-CO"/>
        </w:rPr>
        <w:t xml:space="preserve">. </w:t>
      </w:r>
    </w:p>
    <w:p w14:paraId="2901D88F" w14:textId="77777777" w:rsidR="001C228C" w:rsidRPr="00EE2272" w:rsidRDefault="001C228C" w:rsidP="00DB3190">
      <w:pPr>
        <w:jc w:val="both"/>
        <w:rPr>
          <w:sz w:val="18"/>
          <w:lang w:val="es-CO"/>
        </w:rPr>
      </w:pPr>
    </w:p>
    <w:p w14:paraId="24A6411B" w14:textId="77777777" w:rsidR="00316DB9" w:rsidRPr="005731BE" w:rsidRDefault="00316DB9" w:rsidP="00DB3190">
      <w:pPr>
        <w:pStyle w:val="Descripcin"/>
        <w:spacing w:after="0"/>
        <w:rPr>
          <w:b/>
          <w:color w:val="auto"/>
          <w:sz w:val="22"/>
          <w:szCs w:val="22"/>
          <w:lang w:val="es-CO"/>
        </w:rPr>
      </w:pPr>
      <w:r w:rsidRPr="005731BE">
        <w:rPr>
          <w:b/>
          <w:color w:val="auto"/>
          <w:sz w:val="22"/>
          <w:szCs w:val="22"/>
          <w:lang w:val="es-CO"/>
        </w:rPr>
        <w:t xml:space="preserve">Ilustración </w:t>
      </w:r>
      <w:r w:rsidRPr="005731BE">
        <w:rPr>
          <w:b/>
          <w:color w:val="auto"/>
          <w:sz w:val="22"/>
          <w:szCs w:val="22"/>
          <w:lang w:val="es-CO"/>
        </w:rPr>
        <w:fldChar w:fldCharType="begin"/>
      </w:r>
      <w:r w:rsidRPr="005731BE">
        <w:rPr>
          <w:b/>
          <w:color w:val="auto"/>
          <w:sz w:val="22"/>
          <w:szCs w:val="22"/>
          <w:lang w:val="es-CO"/>
        </w:rPr>
        <w:instrText xml:space="preserve"> SEQ Ilustración \* ARABIC </w:instrText>
      </w:r>
      <w:r w:rsidRPr="005731BE">
        <w:rPr>
          <w:b/>
          <w:color w:val="auto"/>
          <w:sz w:val="22"/>
          <w:szCs w:val="22"/>
          <w:lang w:val="es-CO"/>
        </w:rPr>
        <w:fldChar w:fldCharType="separate"/>
      </w:r>
      <w:r w:rsidR="004D0608">
        <w:rPr>
          <w:b/>
          <w:noProof/>
          <w:color w:val="auto"/>
          <w:sz w:val="22"/>
          <w:szCs w:val="22"/>
          <w:lang w:val="es-CO"/>
        </w:rPr>
        <w:t>2</w:t>
      </w:r>
      <w:r w:rsidRPr="005731BE">
        <w:rPr>
          <w:b/>
          <w:color w:val="auto"/>
          <w:sz w:val="22"/>
          <w:szCs w:val="22"/>
          <w:lang w:val="es-CO"/>
        </w:rPr>
        <w:fldChar w:fldCharType="end"/>
      </w:r>
      <w:r w:rsidRPr="005731BE">
        <w:rPr>
          <w:b/>
          <w:color w:val="auto"/>
          <w:sz w:val="22"/>
          <w:szCs w:val="22"/>
          <w:lang w:val="es-CO"/>
        </w:rPr>
        <w:t>. Número de decisiones judiciales adoptadas</w:t>
      </w:r>
    </w:p>
    <w:p w14:paraId="191C7217" w14:textId="7A5EB3D8" w:rsidR="00316DB9" w:rsidRDefault="00183195" w:rsidP="00DB3190">
      <w:pPr>
        <w:ind w:left="357"/>
        <w:jc w:val="both"/>
        <w:rPr>
          <w:lang w:val="es-CO"/>
        </w:rPr>
      </w:pPr>
      <w:r>
        <w:rPr>
          <w:rFonts w:eastAsiaTheme="majorEastAsia" w:cstheme="majorBidi"/>
          <w:noProof/>
          <w:color w:val="2F5496" w:themeColor="accent1" w:themeShade="BF"/>
          <w:lang w:val="es-CO" w:eastAsia="es-CO"/>
        </w:rPr>
        <mc:AlternateContent>
          <mc:Choice Requires="wps">
            <w:drawing>
              <wp:anchor distT="0" distB="0" distL="114300" distR="114300" simplePos="0" relativeHeight="251667456" behindDoc="0" locked="0" layoutInCell="1" allowOverlap="1" wp14:anchorId="7351A88E" wp14:editId="58708C59">
                <wp:simplePos x="0" y="0"/>
                <wp:positionH relativeFrom="column">
                  <wp:posOffset>-83185</wp:posOffset>
                </wp:positionH>
                <wp:positionV relativeFrom="paragraph">
                  <wp:posOffset>3723640</wp:posOffset>
                </wp:positionV>
                <wp:extent cx="3465195" cy="971550"/>
                <wp:effectExtent l="0" t="0" r="20955" b="19050"/>
                <wp:wrapSquare wrapText="bothSides"/>
                <wp:docPr id="9" name="Cuadro de texto 9"/>
                <wp:cNvGraphicFramePr/>
                <a:graphic xmlns:a="http://schemas.openxmlformats.org/drawingml/2006/main">
                  <a:graphicData uri="http://schemas.microsoft.com/office/word/2010/wordprocessingShape">
                    <wps:wsp>
                      <wps:cNvSpPr txBox="1"/>
                      <wps:spPr>
                        <a:xfrm>
                          <a:off x="0" y="0"/>
                          <a:ext cx="346519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A7F10" w14:textId="3EBD3495" w:rsidR="0059013B" w:rsidRDefault="0059013B" w:rsidP="00316DB9">
                            <w:pPr>
                              <w:pStyle w:val="textocorrido"/>
                              <w:spacing w:before="0"/>
                              <w:jc w:val="both"/>
                              <w:rPr>
                                <w:sz w:val="14"/>
                                <w:szCs w:val="14"/>
                                <w:lang w:val="es-CO"/>
                              </w:rPr>
                            </w:pPr>
                            <w:r w:rsidRPr="008F2677">
                              <w:rPr>
                                <w:sz w:val="14"/>
                                <w:szCs w:val="14"/>
                                <w:lang w:val="es-CO"/>
                              </w:rPr>
                              <w:t xml:space="preserve">Elaboración: </w:t>
                            </w:r>
                            <w:r>
                              <w:rPr>
                                <w:sz w:val="14"/>
                                <w:szCs w:val="14"/>
                                <w:lang w:val="es-CO"/>
                              </w:rPr>
                              <w:t xml:space="preserve">JE¨- Secretaría Ejecutiva - </w:t>
                            </w:r>
                            <w:r w:rsidRPr="008F2677">
                              <w:rPr>
                                <w:sz w:val="14"/>
                                <w:szCs w:val="14"/>
                                <w:lang w:val="es-CO"/>
                              </w:rPr>
                              <w:t>Subdirección de Planeación (2020)</w:t>
                            </w:r>
                            <w:r>
                              <w:rPr>
                                <w:sz w:val="14"/>
                                <w:szCs w:val="14"/>
                                <w:lang w:val="es-CO"/>
                              </w:rPr>
                              <w:t xml:space="preserve">. </w:t>
                            </w:r>
                            <w:r w:rsidRPr="008F2677">
                              <w:rPr>
                                <w:sz w:val="14"/>
                                <w:szCs w:val="14"/>
                                <w:lang w:val="es-CO"/>
                              </w:rPr>
                              <w:t xml:space="preserve">Fecha de </w:t>
                            </w:r>
                            <w:r>
                              <w:rPr>
                                <w:sz w:val="14"/>
                                <w:szCs w:val="14"/>
                                <w:lang w:val="es-CO"/>
                              </w:rPr>
                              <w:t>actualización</w:t>
                            </w:r>
                            <w:r w:rsidRPr="008F2677">
                              <w:rPr>
                                <w:sz w:val="14"/>
                                <w:szCs w:val="14"/>
                                <w:lang w:val="es-CO"/>
                              </w:rPr>
                              <w:t xml:space="preserve"> 20 de marzo de 2020</w:t>
                            </w:r>
                            <w:r>
                              <w:rPr>
                                <w:sz w:val="14"/>
                                <w:szCs w:val="14"/>
                                <w:lang w:val="es-CO"/>
                              </w:rPr>
                              <w:t xml:space="preserve">. </w:t>
                            </w:r>
                          </w:p>
                          <w:p w14:paraId="4699644D" w14:textId="4857C1AF" w:rsidR="0059013B" w:rsidRPr="00A02D0C" w:rsidRDefault="0059013B" w:rsidP="00316DB9">
                            <w:pPr>
                              <w:pStyle w:val="textocorrido"/>
                              <w:spacing w:before="0"/>
                              <w:jc w:val="both"/>
                              <w:rPr>
                                <w:sz w:val="14"/>
                                <w:szCs w:val="14"/>
                                <w:lang w:val="es-CO"/>
                              </w:rPr>
                            </w:pPr>
                            <w:r w:rsidRPr="00A02D0C">
                              <w:rPr>
                                <w:sz w:val="14"/>
                                <w:szCs w:val="14"/>
                                <w:lang w:val="es-CO"/>
                              </w:rPr>
                              <w:t>* Se incluyen también decisiones de la sala respectiva adoptadas por magistrados de las secciones de Primera Instancia que se encontraban en situación de movilidad. El apoyo de los despachos en movilidad de TSARVR</w:t>
                            </w:r>
                            <w:r>
                              <w:rPr>
                                <w:sz w:val="14"/>
                                <w:szCs w:val="14"/>
                                <w:lang w:val="es-CO"/>
                              </w:rPr>
                              <w:t xml:space="preserve"> </w:t>
                            </w:r>
                            <w:r w:rsidRPr="00A02D0C">
                              <w:rPr>
                                <w:sz w:val="14"/>
                                <w:szCs w:val="14"/>
                                <w:lang w:val="es-CO"/>
                              </w:rPr>
                              <w:t>en la SRVR ha sido 417</w:t>
                            </w:r>
                            <w:r>
                              <w:rPr>
                                <w:sz w:val="14"/>
                                <w:szCs w:val="14"/>
                                <w:lang w:val="es-CO"/>
                              </w:rPr>
                              <w:t xml:space="preserve"> </w:t>
                            </w:r>
                            <w:r w:rsidRPr="00A02D0C">
                              <w:rPr>
                                <w:sz w:val="14"/>
                                <w:szCs w:val="14"/>
                                <w:lang w:val="es-CO"/>
                              </w:rPr>
                              <w:t>y en la SAI 467 decisiones judiciales.</w:t>
                            </w:r>
                          </w:p>
                          <w:p w14:paraId="05A9AF80" w14:textId="77777777" w:rsidR="0059013B" w:rsidRPr="008F2677" w:rsidRDefault="0059013B" w:rsidP="00316DB9">
                            <w:pPr>
                              <w:pStyle w:val="textocorrido"/>
                              <w:spacing w:before="0"/>
                              <w:jc w:val="both"/>
                              <w:rPr>
                                <w:sz w:val="14"/>
                                <w:szCs w:val="14"/>
                                <w:lang w:val="es-CO"/>
                              </w:rPr>
                            </w:pPr>
                            <w:r w:rsidRPr="00A02D0C">
                              <w:rPr>
                                <w:sz w:val="14"/>
                                <w:szCs w:val="14"/>
                                <w:lang w:val="es-CO"/>
                              </w:rPr>
                              <w:t>** La SeCRVR en conjunto en 2018 emitió 222 decisiones judiciales, 983 en 2019 y lleva 146 en 2020 (cifras preliminares)</w:t>
                            </w:r>
                          </w:p>
                          <w:p w14:paraId="59BE6697" w14:textId="77777777" w:rsidR="0059013B" w:rsidRPr="0020770A" w:rsidRDefault="0059013B" w:rsidP="00316DB9">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1A88E" id="_x0000_t202" coordsize="21600,21600" o:spt="202" path="m,l,21600r21600,l21600,xe">
                <v:stroke joinstyle="miter"/>
                <v:path gradientshapeok="t" o:connecttype="rect"/>
              </v:shapetype>
              <v:shape id="Cuadro de texto 9" o:spid="_x0000_s1026" type="#_x0000_t202" style="position:absolute;left:0;text-align:left;margin-left:-6.55pt;margin-top:293.2pt;width:272.8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" fillcolor="white [3201]" strokecolor="white [3212]" strokeweight=".5pt">
                <v:textbox>
                  <w:txbxContent>
                    <w:p w14:paraId="2E6A7F10" w14:textId="3EBD3495" w:rsidR="0059013B" w:rsidRDefault="0059013B" w:rsidP="00316DB9">
                      <w:pPr>
                        <w:pStyle w:val="textocorrido"/>
                        <w:spacing w:before="0"/>
                        <w:jc w:val="both"/>
                        <w:rPr>
                          <w:sz w:val="14"/>
                          <w:szCs w:val="14"/>
                          <w:lang w:val="es-CO"/>
                        </w:rPr>
                      </w:pPr>
                      <w:r w:rsidRPr="008F2677">
                        <w:rPr>
                          <w:sz w:val="14"/>
                          <w:szCs w:val="14"/>
                          <w:lang w:val="es-CO"/>
                        </w:rPr>
                        <w:t xml:space="preserve">Elaboración: </w:t>
                      </w:r>
                      <w:r>
                        <w:rPr>
                          <w:sz w:val="14"/>
                          <w:szCs w:val="14"/>
                          <w:lang w:val="es-CO"/>
                        </w:rPr>
                        <w:t xml:space="preserve">JE¨- Secretaría Ejecutiva - </w:t>
                      </w:r>
                      <w:r w:rsidRPr="008F2677">
                        <w:rPr>
                          <w:sz w:val="14"/>
                          <w:szCs w:val="14"/>
                          <w:lang w:val="es-CO"/>
                        </w:rPr>
                        <w:t>Subdirección de Planeación (2020)</w:t>
                      </w:r>
                      <w:r>
                        <w:rPr>
                          <w:sz w:val="14"/>
                          <w:szCs w:val="14"/>
                          <w:lang w:val="es-CO"/>
                        </w:rPr>
                        <w:t xml:space="preserve">. </w:t>
                      </w:r>
                      <w:r w:rsidRPr="008F2677">
                        <w:rPr>
                          <w:sz w:val="14"/>
                          <w:szCs w:val="14"/>
                          <w:lang w:val="es-CO"/>
                        </w:rPr>
                        <w:t xml:space="preserve">Fecha de </w:t>
                      </w:r>
                      <w:r>
                        <w:rPr>
                          <w:sz w:val="14"/>
                          <w:szCs w:val="14"/>
                          <w:lang w:val="es-CO"/>
                        </w:rPr>
                        <w:t>actualización</w:t>
                      </w:r>
                      <w:r w:rsidRPr="008F2677">
                        <w:rPr>
                          <w:sz w:val="14"/>
                          <w:szCs w:val="14"/>
                          <w:lang w:val="es-CO"/>
                        </w:rPr>
                        <w:t xml:space="preserve"> 20 de marzo de 2020</w:t>
                      </w:r>
                      <w:r>
                        <w:rPr>
                          <w:sz w:val="14"/>
                          <w:szCs w:val="14"/>
                          <w:lang w:val="es-CO"/>
                        </w:rPr>
                        <w:t xml:space="preserve">. </w:t>
                      </w:r>
                    </w:p>
                    <w:p w14:paraId="4699644D" w14:textId="4857C1AF" w:rsidR="0059013B" w:rsidRPr="00A02D0C" w:rsidRDefault="0059013B" w:rsidP="00316DB9">
                      <w:pPr>
                        <w:pStyle w:val="textocorrido"/>
                        <w:spacing w:before="0"/>
                        <w:jc w:val="both"/>
                        <w:rPr>
                          <w:sz w:val="14"/>
                          <w:szCs w:val="14"/>
                          <w:lang w:val="es-CO"/>
                        </w:rPr>
                      </w:pPr>
                      <w:r w:rsidRPr="00A02D0C">
                        <w:rPr>
                          <w:sz w:val="14"/>
                          <w:szCs w:val="14"/>
                          <w:lang w:val="es-CO"/>
                        </w:rPr>
                        <w:t>* Se incluyen también decisiones de la sala respectiva adoptadas por magistrados de las secciones de Primera Instancia que se encontraban en situación de movilidad. El apoyo de los despachos en movilidad de TSARVR</w:t>
                      </w:r>
                      <w:r>
                        <w:rPr>
                          <w:sz w:val="14"/>
                          <w:szCs w:val="14"/>
                          <w:lang w:val="es-CO"/>
                        </w:rPr>
                        <w:t xml:space="preserve"> </w:t>
                      </w:r>
                      <w:r w:rsidRPr="00A02D0C">
                        <w:rPr>
                          <w:sz w:val="14"/>
                          <w:szCs w:val="14"/>
                          <w:lang w:val="es-CO"/>
                        </w:rPr>
                        <w:t>en la SRVR ha sido 417</w:t>
                      </w:r>
                      <w:r>
                        <w:rPr>
                          <w:sz w:val="14"/>
                          <w:szCs w:val="14"/>
                          <w:lang w:val="es-CO"/>
                        </w:rPr>
                        <w:t xml:space="preserve"> </w:t>
                      </w:r>
                      <w:r w:rsidRPr="00A02D0C">
                        <w:rPr>
                          <w:sz w:val="14"/>
                          <w:szCs w:val="14"/>
                          <w:lang w:val="es-CO"/>
                        </w:rPr>
                        <w:t>y en la SAI 467 decisiones judiciales.</w:t>
                      </w:r>
                    </w:p>
                    <w:p w14:paraId="05A9AF80" w14:textId="77777777" w:rsidR="0059013B" w:rsidRPr="008F2677" w:rsidRDefault="0059013B" w:rsidP="00316DB9">
                      <w:pPr>
                        <w:pStyle w:val="textocorrido"/>
                        <w:spacing w:before="0"/>
                        <w:jc w:val="both"/>
                        <w:rPr>
                          <w:sz w:val="14"/>
                          <w:szCs w:val="14"/>
                          <w:lang w:val="es-CO"/>
                        </w:rPr>
                      </w:pPr>
                      <w:r w:rsidRPr="00A02D0C">
                        <w:rPr>
                          <w:sz w:val="14"/>
                          <w:szCs w:val="14"/>
                          <w:lang w:val="es-CO"/>
                        </w:rPr>
                        <w:t>** La SeCRVR en conjunto en 2018 emitió 222 decisiones judiciales, 983 en 2019 y lleva 146 en 2020 (cifras preliminares)</w:t>
                      </w:r>
                    </w:p>
                    <w:p w14:paraId="59BE6697" w14:textId="77777777" w:rsidR="0059013B" w:rsidRPr="0020770A" w:rsidRDefault="0059013B" w:rsidP="00316DB9">
                      <w:pPr>
                        <w:rPr>
                          <w:lang w:val="es-CO"/>
                        </w:rPr>
                      </w:pPr>
                    </w:p>
                  </w:txbxContent>
                </v:textbox>
                <w10:wrap type="square"/>
              </v:shape>
            </w:pict>
          </mc:Fallback>
        </mc:AlternateContent>
      </w:r>
      <w:r w:rsidR="00ED2E52">
        <w:rPr>
          <w:noProof/>
          <w:lang w:val="es-CO" w:eastAsia="es-CO"/>
        </w:rPr>
        <w:drawing>
          <wp:anchor distT="0" distB="0" distL="114300" distR="114300" simplePos="0" relativeHeight="251668480" behindDoc="0" locked="0" layoutInCell="1" allowOverlap="1" wp14:anchorId="37BE3C08" wp14:editId="53803B0C">
            <wp:simplePos x="0" y="0"/>
            <wp:positionH relativeFrom="column">
              <wp:posOffset>50165</wp:posOffset>
            </wp:positionH>
            <wp:positionV relativeFrom="paragraph">
              <wp:posOffset>27940</wp:posOffset>
            </wp:positionV>
            <wp:extent cx="3370518" cy="3600000"/>
            <wp:effectExtent l="0" t="0" r="190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366" t="13372" r="4227" b="13662"/>
                    <a:stretch/>
                  </pic:blipFill>
                  <pic:spPr bwMode="auto">
                    <a:xfrm>
                      <a:off x="0" y="0"/>
                      <a:ext cx="3370518"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DB9" w:rsidRPr="00AF7AC6">
        <w:rPr>
          <w:lang w:val="es-CO"/>
        </w:rPr>
        <w:t xml:space="preserve">La Sala </w:t>
      </w:r>
      <w:r w:rsidR="00071E10">
        <w:rPr>
          <w:lang w:val="es-CO"/>
        </w:rPr>
        <w:t>adelanta labores tendientes a abrir otros</w:t>
      </w:r>
      <w:r w:rsidR="00316DB9" w:rsidRPr="00AF7AC6">
        <w:rPr>
          <w:lang w:val="es-CO"/>
        </w:rPr>
        <w:t xml:space="preserve"> </w:t>
      </w:r>
      <w:r w:rsidR="00316DB9">
        <w:rPr>
          <w:lang w:val="es-CO"/>
        </w:rPr>
        <w:t>macro</w:t>
      </w:r>
      <w:r w:rsidR="00172B73">
        <w:rPr>
          <w:lang w:val="es-CO"/>
        </w:rPr>
        <w:t xml:space="preserve"> - </w:t>
      </w:r>
      <w:r w:rsidR="00316DB9" w:rsidRPr="00AF7AC6">
        <w:rPr>
          <w:lang w:val="es-CO"/>
        </w:rPr>
        <w:t xml:space="preserve">casos como resultado de </w:t>
      </w:r>
      <w:r w:rsidR="00316DB9">
        <w:rPr>
          <w:lang w:val="es-CO"/>
        </w:rPr>
        <w:t>una</w:t>
      </w:r>
      <w:r w:rsidR="00316DB9" w:rsidRPr="00AF7AC6">
        <w:rPr>
          <w:lang w:val="es-CO"/>
        </w:rPr>
        <w:t xml:space="preserve"> segunda ronda de priorización. Al tiempo, es de prever que, en su mayoría, los</w:t>
      </w:r>
      <w:r w:rsidR="00316DB9">
        <w:rPr>
          <w:lang w:val="es-CO"/>
        </w:rPr>
        <w:t xml:space="preserve"> 7 macro</w:t>
      </w:r>
      <w:r w:rsidR="00316DB9" w:rsidRPr="00AF7AC6">
        <w:rPr>
          <w:lang w:val="es-CO"/>
        </w:rPr>
        <w:t xml:space="preserve"> casos abiertos a la fecha no habrán sido culminados para ese momento. </w:t>
      </w:r>
      <w:r w:rsidR="00071E10">
        <w:rPr>
          <w:lang w:val="es-CO"/>
        </w:rPr>
        <w:t>Probablemente</w:t>
      </w:r>
      <w:r w:rsidR="00316DB9" w:rsidRPr="00AF7AC6">
        <w:rPr>
          <w:lang w:val="es-CO"/>
        </w:rPr>
        <w:t xml:space="preserve"> se expedirán resoluciones de conclusiones parciales y la instrucción de los primeros </w:t>
      </w:r>
      <w:r w:rsidR="00316DB9">
        <w:rPr>
          <w:lang w:val="es-CO"/>
        </w:rPr>
        <w:t xml:space="preserve">7 macro </w:t>
      </w:r>
      <w:r w:rsidR="00316DB9" w:rsidRPr="00AF7AC6">
        <w:rPr>
          <w:lang w:val="es-CO"/>
        </w:rPr>
        <w:t>casos continuará en el 2021</w:t>
      </w:r>
      <w:r w:rsidR="00316DB9">
        <w:rPr>
          <w:lang w:val="es-CO"/>
        </w:rPr>
        <w:t xml:space="preserve"> junto con el desarrollo de los nuevos macro casos que se abran durante el segundo semestre del 2020</w:t>
      </w:r>
      <w:r w:rsidR="00316DB9" w:rsidRPr="00AF7AC6">
        <w:rPr>
          <w:lang w:val="es-CO"/>
        </w:rPr>
        <w:t xml:space="preserve">. Así, en su gran mayoría los equipos de los </w:t>
      </w:r>
      <w:r w:rsidR="00071E10">
        <w:rPr>
          <w:lang w:val="es-CO"/>
        </w:rPr>
        <w:t>d</w:t>
      </w:r>
      <w:r w:rsidR="00316DB9" w:rsidRPr="00AF7AC6">
        <w:rPr>
          <w:lang w:val="es-CO"/>
        </w:rPr>
        <w:t>espachos estarán copados con la instrucción de los casos abiertos a la fecha y no habrá recursos humanos para instruir los nuevos casos. Si se espera que los nuevos casos puedan llevar el mismo ritmo de instrucción de los actuales -o in</w:t>
      </w:r>
      <w:r w:rsidR="00316DB9">
        <w:rPr>
          <w:lang w:val="es-CO"/>
        </w:rPr>
        <w:t>c</w:t>
      </w:r>
      <w:r w:rsidR="00316DB9" w:rsidRPr="00AF7AC6">
        <w:rPr>
          <w:lang w:val="es-CO"/>
        </w:rPr>
        <w:t xml:space="preserve">luso un mayor ritmo- </w:t>
      </w:r>
      <w:r w:rsidR="00316DB9">
        <w:rPr>
          <w:lang w:val="es-CO"/>
        </w:rPr>
        <w:t xml:space="preserve">para el 2021, </w:t>
      </w:r>
      <w:r w:rsidR="00316DB9" w:rsidRPr="00AF7AC6">
        <w:rPr>
          <w:lang w:val="es-CO"/>
        </w:rPr>
        <w:t xml:space="preserve">se requiere </w:t>
      </w:r>
      <w:r w:rsidR="00316DB9">
        <w:rPr>
          <w:lang w:val="es-CO"/>
        </w:rPr>
        <w:t>fortalecer</w:t>
      </w:r>
      <w:r w:rsidR="00316DB9" w:rsidRPr="00AF7AC6">
        <w:rPr>
          <w:lang w:val="es-CO"/>
        </w:rPr>
        <w:t xml:space="preserve"> los equipos de los </w:t>
      </w:r>
      <w:r w:rsidR="00FD3544">
        <w:rPr>
          <w:lang w:val="es-CO"/>
        </w:rPr>
        <w:t>d</w:t>
      </w:r>
      <w:r w:rsidR="00316DB9" w:rsidRPr="00AF7AC6">
        <w:rPr>
          <w:lang w:val="es-CO"/>
        </w:rPr>
        <w:t xml:space="preserve">espachos. </w:t>
      </w:r>
    </w:p>
    <w:p w14:paraId="00E27472" w14:textId="77777777" w:rsidR="00D5070D" w:rsidRDefault="00D5070D" w:rsidP="00DB3190">
      <w:pPr>
        <w:widowControl w:val="0"/>
        <w:autoSpaceDE w:val="0"/>
        <w:autoSpaceDN w:val="0"/>
        <w:adjustRightInd w:val="0"/>
        <w:jc w:val="both"/>
        <w:rPr>
          <w:color w:val="000000" w:themeColor="text1"/>
          <w:lang w:val="es-CO"/>
        </w:rPr>
      </w:pPr>
    </w:p>
    <w:p w14:paraId="6B9C7173" w14:textId="26314534" w:rsidR="00BA0D14" w:rsidRPr="00E9734B" w:rsidRDefault="00BA0D14" w:rsidP="00DB3190">
      <w:pPr>
        <w:widowControl w:val="0"/>
        <w:autoSpaceDE w:val="0"/>
        <w:autoSpaceDN w:val="0"/>
        <w:adjustRightInd w:val="0"/>
        <w:jc w:val="both"/>
        <w:rPr>
          <w:lang w:val="es-CO"/>
        </w:rPr>
      </w:pPr>
      <w:r>
        <w:rPr>
          <w:color w:val="000000" w:themeColor="text1"/>
          <w:lang w:val="es-CO"/>
        </w:rPr>
        <w:t xml:space="preserve">A la UIA le corresponde </w:t>
      </w:r>
      <w:r w:rsidR="001B2721">
        <w:rPr>
          <w:lang w:val="es-CO"/>
        </w:rPr>
        <w:t>realizar</w:t>
      </w:r>
      <w:r w:rsidR="001B2721" w:rsidRPr="001B2721">
        <w:rPr>
          <w:lang w:val="es-CO"/>
        </w:rPr>
        <w:t xml:space="preserve"> las investigacion</w:t>
      </w:r>
      <w:r w:rsidR="001B2721">
        <w:rPr>
          <w:lang w:val="es-CO"/>
        </w:rPr>
        <w:t>es y adelantar</w:t>
      </w:r>
      <w:r w:rsidR="001B2721" w:rsidRPr="001B2721">
        <w:rPr>
          <w:lang w:val="es-CO"/>
        </w:rPr>
        <w:t xml:space="preserve"> el ejercicio de la acción </w:t>
      </w:r>
      <w:r w:rsidR="001B2721" w:rsidRPr="001B2721">
        <w:rPr>
          <w:lang w:val="es-CO"/>
        </w:rPr>
        <w:lastRenderedPageBreak/>
        <w:t>pen</w:t>
      </w:r>
      <w:r w:rsidR="001B2721">
        <w:rPr>
          <w:lang w:val="es-CO"/>
        </w:rPr>
        <w:t xml:space="preserve">al ante el Tribunal para la Paz. </w:t>
      </w:r>
      <w:r w:rsidR="00176095">
        <w:rPr>
          <w:lang w:val="es-CO"/>
        </w:rPr>
        <w:t xml:space="preserve">Durante el 2019, </w:t>
      </w:r>
      <w:r w:rsidR="007364D7">
        <w:rPr>
          <w:lang w:val="es-CO"/>
        </w:rPr>
        <w:t xml:space="preserve">a </w:t>
      </w:r>
      <w:r w:rsidR="00176095">
        <w:rPr>
          <w:lang w:val="es-CO"/>
        </w:rPr>
        <w:t xml:space="preserve">la UIA </w:t>
      </w:r>
      <w:r w:rsidR="007364D7">
        <w:rPr>
          <w:lang w:val="es-CO"/>
        </w:rPr>
        <w:t xml:space="preserve">le fueron asignadas </w:t>
      </w:r>
      <w:r w:rsidR="007364D7" w:rsidRPr="007364D7">
        <w:rPr>
          <w:lang w:val="es-CO"/>
        </w:rPr>
        <w:t>3.293 actas para cumplimiento de actividades misionales</w:t>
      </w:r>
      <w:r w:rsidR="007364D7">
        <w:rPr>
          <w:lang w:val="es-CO"/>
        </w:rPr>
        <w:t xml:space="preserve"> y </w:t>
      </w:r>
      <w:r w:rsidR="007364D7" w:rsidRPr="007364D7">
        <w:rPr>
          <w:lang w:val="es-CO"/>
        </w:rPr>
        <w:t>3.144 comisiones judiciales</w:t>
      </w:r>
      <w:r w:rsidR="007364D7">
        <w:rPr>
          <w:lang w:val="es-CO"/>
        </w:rPr>
        <w:t xml:space="preserve">. De igual forma, </w:t>
      </w:r>
      <w:r w:rsidR="00176095">
        <w:rPr>
          <w:lang w:val="es-CO"/>
        </w:rPr>
        <w:t xml:space="preserve">realizó </w:t>
      </w:r>
      <w:r w:rsidR="00176095" w:rsidRPr="00176095">
        <w:rPr>
          <w:lang w:val="es-CO"/>
        </w:rPr>
        <w:t xml:space="preserve">696 actividades de apoyo investigativo </w:t>
      </w:r>
      <w:r w:rsidR="00176095">
        <w:rPr>
          <w:lang w:val="es-CO"/>
        </w:rPr>
        <w:t>principalmente concentrado en a</w:t>
      </w:r>
      <w:r w:rsidR="00176095" w:rsidRPr="00176095">
        <w:rPr>
          <w:lang w:val="es-CO"/>
        </w:rPr>
        <w:t>nálisis de casos con pertenencia a FARC-EP o conexidad de hechos con el conflicto armado</w:t>
      </w:r>
      <w:r w:rsidR="00176095">
        <w:rPr>
          <w:lang w:val="es-CO"/>
        </w:rPr>
        <w:t xml:space="preserve"> y consultas selectivas en bases de datos</w:t>
      </w:r>
      <w:r w:rsidR="007364D7">
        <w:rPr>
          <w:lang w:val="es-CO"/>
        </w:rPr>
        <w:t xml:space="preserve"> y</w:t>
      </w:r>
      <w:r w:rsidR="00B11AE6">
        <w:rPr>
          <w:lang w:val="es-CO"/>
        </w:rPr>
        <w:t xml:space="preserve">, generó </w:t>
      </w:r>
      <w:r w:rsidR="00B11AE6" w:rsidRPr="00B11AE6">
        <w:rPr>
          <w:lang w:val="es-CO"/>
        </w:rPr>
        <w:t>3.769 órdenes a policía judicial proferidas por fiscales de la UIA</w:t>
      </w:r>
      <w:r w:rsidR="00B11AE6">
        <w:rPr>
          <w:lang w:val="es-CO"/>
        </w:rPr>
        <w:t xml:space="preserve">, entra las que se encontraban 136 </w:t>
      </w:r>
      <w:r w:rsidR="00B11AE6" w:rsidRPr="00B11AE6">
        <w:rPr>
          <w:lang w:val="es-CO"/>
        </w:rPr>
        <w:t xml:space="preserve">órdenes a </w:t>
      </w:r>
      <w:r w:rsidR="00E9734B">
        <w:rPr>
          <w:lang w:val="es-CO"/>
        </w:rPr>
        <w:t>p</w:t>
      </w:r>
      <w:r w:rsidR="00B11AE6" w:rsidRPr="00B11AE6">
        <w:rPr>
          <w:lang w:val="es-CO"/>
        </w:rPr>
        <w:t xml:space="preserve">olicía </w:t>
      </w:r>
      <w:r w:rsidR="00E9734B">
        <w:rPr>
          <w:lang w:val="es-CO"/>
        </w:rPr>
        <w:t>j</w:t>
      </w:r>
      <w:r w:rsidR="00B11AE6" w:rsidRPr="00B11AE6">
        <w:rPr>
          <w:lang w:val="es-CO"/>
        </w:rPr>
        <w:t>udicial del Grupo de Apoyo Técnico Forense</w:t>
      </w:r>
      <w:r w:rsidR="007364D7">
        <w:rPr>
          <w:lang w:val="es-CO"/>
        </w:rPr>
        <w:t>.</w:t>
      </w:r>
      <w:r w:rsidR="007364D7" w:rsidRPr="00E9734B">
        <w:rPr>
          <w:lang w:val="es-CO"/>
        </w:rPr>
        <w:t xml:space="preserve"> </w:t>
      </w:r>
    </w:p>
    <w:p w14:paraId="5D6BF393" w14:textId="77777777" w:rsidR="00A04511" w:rsidRPr="00E9734B" w:rsidRDefault="00A04511" w:rsidP="00DB3190">
      <w:pPr>
        <w:widowControl w:val="0"/>
        <w:autoSpaceDE w:val="0"/>
        <w:autoSpaceDN w:val="0"/>
        <w:adjustRightInd w:val="0"/>
        <w:jc w:val="both"/>
        <w:rPr>
          <w:lang w:val="es-CO"/>
        </w:rPr>
      </w:pPr>
    </w:p>
    <w:p w14:paraId="116C44F1" w14:textId="0422B37C" w:rsidR="00A04511" w:rsidRDefault="00A04511" w:rsidP="00DB3190">
      <w:pPr>
        <w:widowControl w:val="0"/>
        <w:autoSpaceDE w:val="0"/>
        <w:autoSpaceDN w:val="0"/>
        <w:adjustRightInd w:val="0"/>
        <w:jc w:val="both"/>
        <w:rPr>
          <w:lang w:val="es-CO"/>
        </w:rPr>
      </w:pPr>
      <w:r w:rsidRPr="00E9734B">
        <w:rPr>
          <w:lang w:val="es-CO"/>
        </w:rPr>
        <w:t xml:space="preserve">En </w:t>
      </w:r>
      <w:r>
        <w:rPr>
          <w:lang w:val="es-CO"/>
        </w:rPr>
        <w:t xml:space="preserve">cuanto a la labor desarrollada por </w:t>
      </w:r>
      <w:r w:rsidR="002449A6">
        <w:rPr>
          <w:lang w:val="es-CO"/>
        </w:rPr>
        <w:t>la Secretaría</w:t>
      </w:r>
      <w:r>
        <w:rPr>
          <w:lang w:val="es-CO"/>
        </w:rPr>
        <w:t xml:space="preserve"> Ejecutiva se tiene principalmente que durante 2019:</w:t>
      </w:r>
    </w:p>
    <w:p w14:paraId="3BF1D91A" w14:textId="3B2432FC" w:rsidR="00A04511" w:rsidRDefault="00A04511" w:rsidP="00DB3190">
      <w:pPr>
        <w:pStyle w:val="Prrafodelista"/>
        <w:widowControl w:val="0"/>
        <w:numPr>
          <w:ilvl w:val="0"/>
          <w:numId w:val="30"/>
        </w:numPr>
        <w:autoSpaceDE w:val="0"/>
        <w:autoSpaceDN w:val="0"/>
        <w:adjustRightInd w:val="0"/>
        <w:jc w:val="both"/>
        <w:rPr>
          <w:lang w:val="es-CO"/>
        </w:rPr>
      </w:pPr>
      <w:r w:rsidRPr="00A04511">
        <w:rPr>
          <w:lang w:val="es-CO"/>
        </w:rPr>
        <w:t xml:space="preserve">1.390 víctimas individuales </w:t>
      </w:r>
      <w:r w:rsidR="00731914">
        <w:rPr>
          <w:lang w:val="es-CO"/>
        </w:rPr>
        <w:t xml:space="preserve">y </w:t>
      </w:r>
      <w:r>
        <w:rPr>
          <w:lang w:val="es-CO"/>
        </w:rPr>
        <w:t>100 sujetos colectivos víctimas fueron representado</w:t>
      </w:r>
      <w:r w:rsidRPr="00A04511">
        <w:rPr>
          <w:lang w:val="es-CO"/>
        </w:rPr>
        <w:t xml:space="preserve">s </w:t>
      </w:r>
      <w:r>
        <w:rPr>
          <w:lang w:val="es-CO"/>
        </w:rPr>
        <w:t xml:space="preserve">por el por el SAAD Víctimas </w:t>
      </w:r>
      <w:r w:rsidRPr="00A04511">
        <w:rPr>
          <w:lang w:val="es-CO"/>
        </w:rPr>
        <w:t>en proceso adelantados ante las Salas de la JEP</w:t>
      </w:r>
      <w:r>
        <w:rPr>
          <w:lang w:val="es-CO"/>
        </w:rPr>
        <w:t>.</w:t>
      </w:r>
    </w:p>
    <w:p w14:paraId="581B4B35" w14:textId="6085BD8D" w:rsidR="00A04511" w:rsidRDefault="00376AC8" w:rsidP="00DB3190">
      <w:pPr>
        <w:pStyle w:val="Prrafodelista"/>
        <w:widowControl w:val="0"/>
        <w:numPr>
          <w:ilvl w:val="0"/>
          <w:numId w:val="30"/>
        </w:numPr>
        <w:autoSpaceDE w:val="0"/>
        <w:autoSpaceDN w:val="0"/>
        <w:adjustRightInd w:val="0"/>
        <w:jc w:val="both"/>
        <w:rPr>
          <w:lang w:val="es-CO"/>
        </w:rPr>
      </w:pPr>
      <w:r w:rsidRPr="00376AC8">
        <w:rPr>
          <w:lang w:val="es-CO"/>
        </w:rPr>
        <w:t xml:space="preserve">1.229 comparecientes </w:t>
      </w:r>
      <w:r>
        <w:rPr>
          <w:lang w:val="es-CO"/>
        </w:rPr>
        <w:t>recibieron defensa</w:t>
      </w:r>
      <w:r w:rsidRPr="00376AC8">
        <w:rPr>
          <w:lang w:val="es-CO"/>
        </w:rPr>
        <w:t xml:space="preserve"> judicial por parte del SAAD </w:t>
      </w:r>
      <w:r>
        <w:rPr>
          <w:lang w:val="es-CO"/>
        </w:rPr>
        <w:t>Compareciente</w:t>
      </w:r>
      <w:r w:rsidR="00E9734B">
        <w:rPr>
          <w:lang w:val="es-CO"/>
        </w:rPr>
        <w:t>s</w:t>
      </w:r>
      <w:r>
        <w:rPr>
          <w:lang w:val="es-CO"/>
        </w:rPr>
        <w:t xml:space="preserve">, y 3.384 recibieron asesoría judicial. </w:t>
      </w:r>
    </w:p>
    <w:p w14:paraId="7D4691D3" w14:textId="39564BC9" w:rsidR="0007131E" w:rsidRDefault="0007131E" w:rsidP="00DB3190">
      <w:pPr>
        <w:pStyle w:val="Prrafodelista"/>
        <w:widowControl w:val="0"/>
        <w:numPr>
          <w:ilvl w:val="0"/>
          <w:numId w:val="30"/>
        </w:numPr>
        <w:autoSpaceDE w:val="0"/>
        <w:autoSpaceDN w:val="0"/>
        <w:adjustRightInd w:val="0"/>
        <w:jc w:val="both"/>
        <w:rPr>
          <w:lang w:val="es-CO"/>
        </w:rPr>
      </w:pPr>
      <w:r w:rsidRPr="0007131E">
        <w:rPr>
          <w:lang w:val="es-CO"/>
        </w:rPr>
        <w:t xml:space="preserve">22.889 víctimas individuales </w:t>
      </w:r>
      <w:r>
        <w:rPr>
          <w:lang w:val="es-CO"/>
        </w:rPr>
        <w:t>participaro</w:t>
      </w:r>
      <w:r w:rsidRPr="0007131E">
        <w:rPr>
          <w:lang w:val="es-CO"/>
        </w:rPr>
        <w:t xml:space="preserve">n </w:t>
      </w:r>
      <w:r>
        <w:rPr>
          <w:lang w:val="es-CO"/>
        </w:rPr>
        <w:t xml:space="preserve">en 552 </w:t>
      </w:r>
      <w:r w:rsidRPr="0007131E">
        <w:rPr>
          <w:lang w:val="es-CO"/>
        </w:rPr>
        <w:t>actividades de difusión, pedagogía y producción derivados de la guía para la presentación de informe</w:t>
      </w:r>
      <w:r>
        <w:rPr>
          <w:lang w:val="es-CO"/>
        </w:rPr>
        <w:t>.</w:t>
      </w:r>
    </w:p>
    <w:p w14:paraId="3BEBD085" w14:textId="603B9224" w:rsidR="00376AC8" w:rsidRDefault="0060757E" w:rsidP="00DB3190">
      <w:pPr>
        <w:pStyle w:val="Prrafodelista"/>
        <w:widowControl w:val="0"/>
        <w:numPr>
          <w:ilvl w:val="0"/>
          <w:numId w:val="30"/>
        </w:numPr>
        <w:autoSpaceDE w:val="0"/>
        <w:autoSpaceDN w:val="0"/>
        <w:adjustRightInd w:val="0"/>
        <w:jc w:val="both"/>
        <w:rPr>
          <w:lang w:val="es-CO"/>
        </w:rPr>
      </w:pPr>
      <w:r w:rsidRPr="0060757E">
        <w:rPr>
          <w:lang w:val="es-CO"/>
        </w:rPr>
        <w:t xml:space="preserve">398 actas </w:t>
      </w:r>
      <w:r>
        <w:rPr>
          <w:lang w:val="es-CO"/>
        </w:rPr>
        <w:t>fueron suscritas</w:t>
      </w:r>
      <w:r w:rsidRPr="0060757E">
        <w:rPr>
          <w:lang w:val="es-CO"/>
        </w:rPr>
        <w:t xml:space="preserve"> con el apoyo del Depart</w:t>
      </w:r>
      <w:r>
        <w:rPr>
          <w:lang w:val="es-CO"/>
        </w:rPr>
        <w:t>amento de Atención Territorial, 634 actividades de apoyo se realizaron para</w:t>
      </w:r>
      <w:r w:rsidRPr="0060757E">
        <w:rPr>
          <w:lang w:val="es-CO"/>
        </w:rPr>
        <w:t xml:space="preserve"> la gestión territorial de las Salas de Justicia y el Tribunal de la Paz</w:t>
      </w:r>
      <w:r w:rsidR="002449A6">
        <w:rPr>
          <w:lang w:val="es-CO"/>
        </w:rPr>
        <w:t xml:space="preserve"> y</w:t>
      </w:r>
      <w:r>
        <w:rPr>
          <w:lang w:val="es-CO"/>
        </w:rPr>
        <w:t xml:space="preserve"> 104 </w:t>
      </w:r>
      <w:r w:rsidRPr="0060757E">
        <w:rPr>
          <w:lang w:val="es-CO"/>
        </w:rPr>
        <w:t xml:space="preserve">jornadas de orientación </w:t>
      </w:r>
      <w:r>
        <w:rPr>
          <w:lang w:val="es-CO"/>
        </w:rPr>
        <w:t xml:space="preserve">se desarrollaron para </w:t>
      </w:r>
      <w:r w:rsidRPr="0060757E">
        <w:rPr>
          <w:lang w:val="es-CO"/>
        </w:rPr>
        <w:t>suscripción de actas</w:t>
      </w:r>
      <w:r w:rsidR="002449A6">
        <w:rPr>
          <w:lang w:val="es-CO"/>
        </w:rPr>
        <w:t>.</w:t>
      </w:r>
    </w:p>
    <w:p w14:paraId="165588B7" w14:textId="77777777" w:rsidR="00B11AE6" w:rsidRPr="00B11AE6" w:rsidRDefault="00B11AE6" w:rsidP="00DB3190">
      <w:pPr>
        <w:pStyle w:val="Prrafodelista"/>
        <w:widowControl w:val="0"/>
        <w:autoSpaceDE w:val="0"/>
        <w:autoSpaceDN w:val="0"/>
        <w:adjustRightInd w:val="0"/>
        <w:ind w:left="785"/>
        <w:jc w:val="both"/>
        <w:rPr>
          <w:b/>
          <w:color w:val="000000" w:themeColor="text1"/>
          <w:lang w:val="es-CO"/>
        </w:rPr>
      </w:pPr>
    </w:p>
    <w:p w14:paraId="4261F23E" w14:textId="7730267A" w:rsidR="00603C55" w:rsidRDefault="00DB3155" w:rsidP="00DB3190">
      <w:pPr>
        <w:pStyle w:val="Prrafodelista"/>
        <w:widowControl w:val="0"/>
        <w:numPr>
          <w:ilvl w:val="0"/>
          <w:numId w:val="29"/>
        </w:numPr>
        <w:autoSpaceDE w:val="0"/>
        <w:autoSpaceDN w:val="0"/>
        <w:adjustRightInd w:val="0"/>
        <w:jc w:val="both"/>
        <w:rPr>
          <w:b/>
          <w:color w:val="000000" w:themeColor="text1"/>
          <w:lang w:val="es-CO"/>
        </w:rPr>
      </w:pPr>
      <w:r w:rsidRPr="00F87BA2">
        <w:rPr>
          <w:b/>
          <w:color w:val="2F5496" w:themeColor="accent1" w:themeShade="BF"/>
          <w:lang w:val="es-CO"/>
        </w:rPr>
        <w:t>Segundo Objetivo</w:t>
      </w:r>
      <w:r w:rsidR="00731914">
        <w:rPr>
          <w:b/>
          <w:color w:val="2F5496" w:themeColor="accent1" w:themeShade="BF"/>
          <w:lang w:val="es-CO"/>
        </w:rPr>
        <w:t xml:space="preserve"> Estratégico</w:t>
      </w:r>
      <w:r w:rsidRPr="00F87BA2">
        <w:rPr>
          <w:b/>
          <w:color w:val="2F5496" w:themeColor="accent1" w:themeShade="BF"/>
          <w:lang w:val="es-CO"/>
        </w:rPr>
        <w:t xml:space="preserve">: </w:t>
      </w:r>
      <w:r w:rsidRPr="00F87BA2">
        <w:rPr>
          <w:b/>
          <w:color w:val="000000" w:themeColor="text1"/>
          <w:lang w:val="es-CO"/>
        </w:rPr>
        <w:t>Resolver, dentro de un plazo razonable, las solicitudes, beneficios, y situación jurídica de los comparecientes ante la JEP.</w:t>
      </w:r>
    </w:p>
    <w:p w14:paraId="149A088B" w14:textId="77777777" w:rsidR="00603C55" w:rsidRDefault="00603C55" w:rsidP="00DB3190">
      <w:pPr>
        <w:widowControl w:val="0"/>
        <w:autoSpaceDE w:val="0"/>
        <w:autoSpaceDN w:val="0"/>
        <w:adjustRightInd w:val="0"/>
        <w:jc w:val="both"/>
        <w:rPr>
          <w:b/>
          <w:color w:val="000000" w:themeColor="text1"/>
          <w:lang w:val="es-CO"/>
        </w:rPr>
      </w:pPr>
    </w:p>
    <w:p w14:paraId="4419743A" w14:textId="0EBFF71C" w:rsidR="00603C55" w:rsidRDefault="008F5C40" w:rsidP="00DB3190">
      <w:pPr>
        <w:widowControl w:val="0"/>
        <w:autoSpaceDE w:val="0"/>
        <w:autoSpaceDN w:val="0"/>
        <w:adjustRightInd w:val="0"/>
        <w:jc w:val="both"/>
        <w:rPr>
          <w:color w:val="000000" w:themeColor="text1"/>
          <w:lang w:val="es-CO"/>
        </w:rPr>
      </w:pPr>
      <w:r>
        <w:rPr>
          <w:color w:val="000000" w:themeColor="text1"/>
          <w:lang w:val="es-CO"/>
        </w:rPr>
        <w:t>Éste es un segundo objetivo estrat</w:t>
      </w:r>
      <w:r w:rsidR="0005173E">
        <w:rPr>
          <w:color w:val="000000" w:themeColor="text1"/>
          <w:lang w:val="es-CO"/>
        </w:rPr>
        <w:t>égico misional concentrado en l</w:t>
      </w:r>
      <w:r w:rsidR="006D5D69">
        <w:rPr>
          <w:color w:val="000000" w:themeColor="text1"/>
          <w:lang w:val="es-CO"/>
        </w:rPr>
        <w:t>a resolución de la situación jurídica de</w:t>
      </w:r>
      <w:r w:rsidR="0005173E">
        <w:rPr>
          <w:color w:val="000000" w:themeColor="text1"/>
          <w:lang w:val="es-CO"/>
        </w:rPr>
        <w:t xml:space="preserve"> los comparecientes ante la JEP, que </w:t>
      </w:r>
      <w:r w:rsidR="006D5D69">
        <w:rPr>
          <w:color w:val="000000" w:themeColor="text1"/>
          <w:lang w:val="es-CO"/>
        </w:rPr>
        <w:t xml:space="preserve">recae principalmente en </w:t>
      </w:r>
      <w:r w:rsidR="00071E10">
        <w:rPr>
          <w:color w:val="000000" w:themeColor="text1"/>
          <w:lang w:val="es-CO"/>
        </w:rPr>
        <w:t>dos salas de justicia. L</w:t>
      </w:r>
      <w:r w:rsidR="006D5D69">
        <w:rPr>
          <w:color w:val="000000" w:themeColor="text1"/>
          <w:lang w:val="es-CO"/>
        </w:rPr>
        <w:t>a Sala de Definición de Situaciones Jurídica</w:t>
      </w:r>
      <w:r w:rsidR="00071E10">
        <w:rPr>
          <w:color w:val="000000" w:themeColor="text1"/>
          <w:lang w:val="es-CO"/>
        </w:rPr>
        <w:t>s</w:t>
      </w:r>
      <w:r w:rsidR="006D5D69">
        <w:rPr>
          <w:color w:val="000000" w:themeColor="text1"/>
          <w:lang w:val="es-CO"/>
        </w:rPr>
        <w:t>, encargada de d</w:t>
      </w:r>
      <w:r w:rsidR="006D5D69" w:rsidRPr="006D5D69">
        <w:rPr>
          <w:color w:val="000000" w:themeColor="text1"/>
          <w:lang w:val="es-CO"/>
        </w:rPr>
        <w:t>efinir las situaciones jurídicas (renuncia a la persecución penal u</w:t>
      </w:r>
      <w:r w:rsidR="006D5D69">
        <w:rPr>
          <w:color w:val="000000" w:themeColor="text1"/>
          <w:lang w:val="es-CO"/>
        </w:rPr>
        <w:t xml:space="preserve"> </w:t>
      </w:r>
      <w:r w:rsidR="006D5D69" w:rsidRPr="006D5D69">
        <w:rPr>
          <w:color w:val="000000" w:themeColor="text1"/>
          <w:lang w:val="es-CO"/>
        </w:rPr>
        <w:t>otra forma de terminación anticipada) en los casos menos graves, menos representativos, a sujetos con participación no determinante en</w:t>
      </w:r>
      <w:r w:rsidR="006D5D69">
        <w:rPr>
          <w:color w:val="000000" w:themeColor="text1"/>
          <w:lang w:val="es-CO"/>
        </w:rPr>
        <w:t xml:space="preserve"> </w:t>
      </w:r>
      <w:r w:rsidR="006D5D69" w:rsidRPr="006D5D69">
        <w:rPr>
          <w:color w:val="000000" w:themeColor="text1"/>
          <w:lang w:val="es-CO"/>
        </w:rPr>
        <w:t>hechos relacionados con el conflicto armado.</w:t>
      </w:r>
      <w:r w:rsidR="006D5D69">
        <w:rPr>
          <w:color w:val="000000" w:themeColor="text1"/>
          <w:lang w:val="es-CO"/>
        </w:rPr>
        <w:t xml:space="preserve"> De igual forma, le corresponde d</w:t>
      </w:r>
      <w:r w:rsidR="006D5D69" w:rsidRPr="006D5D69">
        <w:rPr>
          <w:color w:val="000000" w:themeColor="text1"/>
          <w:lang w:val="es-CO"/>
        </w:rPr>
        <w:t>efinir la situaci</w:t>
      </w:r>
      <w:r w:rsidR="006D5D69" w:rsidRPr="006D5D69">
        <w:rPr>
          <w:rFonts w:cs="Palatino Linotype"/>
          <w:color w:val="000000" w:themeColor="text1"/>
          <w:lang w:val="es-CO"/>
        </w:rPr>
        <w:t>ó</w:t>
      </w:r>
      <w:r w:rsidR="006D5D69" w:rsidRPr="006D5D69">
        <w:rPr>
          <w:color w:val="000000" w:themeColor="text1"/>
          <w:lang w:val="es-CO"/>
        </w:rPr>
        <w:t>n jur</w:t>
      </w:r>
      <w:r w:rsidR="006D5D69" w:rsidRPr="006D5D69">
        <w:rPr>
          <w:rFonts w:cs="Palatino Linotype"/>
          <w:color w:val="000000" w:themeColor="text1"/>
          <w:lang w:val="es-CO"/>
        </w:rPr>
        <w:t>í</w:t>
      </w:r>
      <w:r w:rsidR="006D5D69" w:rsidRPr="006D5D69">
        <w:rPr>
          <w:color w:val="000000" w:themeColor="text1"/>
          <w:lang w:val="es-CO"/>
        </w:rPr>
        <w:t>dica de las personas de la fuerza p</w:t>
      </w:r>
      <w:r w:rsidR="006D5D69" w:rsidRPr="006D5D69">
        <w:rPr>
          <w:rFonts w:cs="Palatino Linotype"/>
          <w:color w:val="000000" w:themeColor="text1"/>
          <w:lang w:val="es-CO"/>
        </w:rPr>
        <w:t>ú</w:t>
      </w:r>
      <w:r w:rsidR="006D5D69" w:rsidRPr="006D5D69">
        <w:rPr>
          <w:color w:val="000000" w:themeColor="text1"/>
          <w:lang w:val="es-CO"/>
        </w:rPr>
        <w:t>blica que</w:t>
      </w:r>
      <w:r w:rsidR="006D5D69">
        <w:rPr>
          <w:color w:val="000000" w:themeColor="text1"/>
          <w:lang w:val="es-CO"/>
        </w:rPr>
        <w:t xml:space="preserve"> </w:t>
      </w:r>
      <w:r w:rsidR="006D5D69" w:rsidRPr="006D5D69">
        <w:rPr>
          <w:color w:val="000000" w:themeColor="text1"/>
          <w:lang w:val="es-CO"/>
        </w:rPr>
        <w:t>hayan cometido conductas que tengan relación directa o indirecta con</w:t>
      </w:r>
      <w:r w:rsidR="006D5D69">
        <w:rPr>
          <w:color w:val="000000" w:themeColor="text1"/>
          <w:lang w:val="es-CO"/>
        </w:rPr>
        <w:t xml:space="preserve"> </w:t>
      </w:r>
      <w:r w:rsidR="006D5D69" w:rsidRPr="006D5D69">
        <w:rPr>
          <w:color w:val="000000" w:themeColor="text1"/>
          <w:lang w:val="es-CO"/>
        </w:rPr>
        <w:t>el conflicto armado.</w:t>
      </w:r>
    </w:p>
    <w:p w14:paraId="5073D5B7" w14:textId="77777777" w:rsidR="006D5D69" w:rsidRDefault="006D5D69" w:rsidP="00DB3190">
      <w:pPr>
        <w:widowControl w:val="0"/>
        <w:autoSpaceDE w:val="0"/>
        <w:autoSpaceDN w:val="0"/>
        <w:adjustRightInd w:val="0"/>
        <w:jc w:val="both"/>
        <w:rPr>
          <w:color w:val="000000" w:themeColor="text1"/>
          <w:lang w:val="es-CO"/>
        </w:rPr>
      </w:pPr>
    </w:p>
    <w:p w14:paraId="6D43D2A7" w14:textId="5DF5390B" w:rsidR="005E2ED8" w:rsidRDefault="005E2ED8" w:rsidP="00DB3190">
      <w:pPr>
        <w:widowControl w:val="0"/>
        <w:autoSpaceDE w:val="0"/>
        <w:autoSpaceDN w:val="0"/>
        <w:adjustRightInd w:val="0"/>
        <w:jc w:val="both"/>
        <w:rPr>
          <w:lang w:val="es-CO"/>
        </w:rPr>
      </w:pPr>
      <w:r w:rsidRPr="008C0A08">
        <w:rPr>
          <w:lang w:val="es-CO"/>
        </w:rPr>
        <w:t>Así mismo</w:t>
      </w:r>
      <w:r>
        <w:rPr>
          <w:lang w:val="es-CO"/>
        </w:rPr>
        <w:t>, es la encargada de</w:t>
      </w:r>
      <w:r w:rsidRPr="008C0A08">
        <w:rPr>
          <w:lang w:val="es-CO"/>
        </w:rPr>
        <w:t xml:space="preserve"> la concesión de l</w:t>
      </w:r>
      <w:r>
        <w:rPr>
          <w:lang w:val="es-CO"/>
        </w:rPr>
        <w:t>os beneficios transitorios, anticipados y condicionados del Sistema (libertades transitorias y anticipadas; privación de la libertad en unidades militares y policiales; revocatoria y sustitución de medidas de aseguramiento y suspensión de órdenes de captura) y de la imposición y monitoreo del régimen de condicionalidad. Esto para miembros de la fuerza pública, terceros, agentes del Estado no integrantes de la fuerza pública y personas involucradas en casos de protesta social.</w:t>
      </w:r>
    </w:p>
    <w:p w14:paraId="239A35E3" w14:textId="77777777" w:rsidR="005E2ED8" w:rsidRDefault="005E2ED8" w:rsidP="00DB3190">
      <w:pPr>
        <w:widowControl w:val="0"/>
        <w:autoSpaceDE w:val="0"/>
        <w:autoSpaceDN w:val="0"/>
        <w:adjustRightInd w:val="0"/>
        <w:jc w:val="both"/>
        <w:rPr>
          <w:color w:val="000000" w:themeColor="text1"/>
          <w:lang w:val="es-CO"/>
        </w:rPr>
      </w:pPr>
    </w:p>
    <w:p w14:paraId="0A99EFF7" w14:textId="75E62BE1" w:rsidR="00D5070D" w:rsidRDefault="00D5070D" w:rsidP="00D5070D">
      <w:pPr>
        <w:widowControl w:val="0"/>
        <w:autoSpaceDE w:val="0"/>
        <w:autoSpaceDN w:val="0"/>
        <w:adjustRightInd w:val="0"/>
        <w:jc w:val="both"/>
        <w:rPr>
          <w:lang w:val="es-CO"/>
        </w:rPr>
      </w:pPr>
      <w:r>
        <w:rPr>
          <w:lang w:val="es-CO"/>
        </w:rPr>
        <w:t>D</w:t>
      </w:r>
      <w:r w:rsidRPr="00770A76">
        <w:rPr>
          <w:lang w:val="es-CO"/>
        </w:rPr>
        <w:t xml:space="preserve">entro de </w:t>
      </w:r>
      <w:r>
        <w:rPr>
          <w:lang w:val="es-CO"/>
        </w:rPr>
        <w:t xml:space="preserve">las actividades investigativas de la Sala de Definición de Situaciones </w:t>
      </w:r>
      <w:r>
        <w:rPr>
          <w:lang w:val="es-CO"/>
        </w:rPr>
        <w:lastRenderedPageBreak/>
        <w:t xml:space="preserve">Jurídicas, se priorizaron 3 macro - casos luego de estudiar las distintas solicitudes de sometimiento (en la actualidad han sido repartidas 6005): Bloque Norte de las AUC, Autodefensas Campesinas de Córdoba y Urabá y terceros reclutadores en el marco de la comisión de ejecuciones extrajudiciales. A la fecha, se han adelantado cinco versiones de aporte temprano a la verdad. Algunos de estos casos guardan relación con los macro casos 003 y 004 que adelanta la Sala de Reconocimiento. En atención a dicha estrategia, se aprobaron apoyos en movilidad y fortalecimiento de los despachos, aclarando que aún no ha sido expedido el Acuerdo respectivo. </w:t>
      </w:r>
    </w:p>
    <w:p w14:paraId="649BD20C" w14:textId="77777777" w:rsidR="00B06935" w:rsidRDefault="00B06935" w:rsidP="00D5070D">
      <w:pPr>
        <w:widowControl w:val="0"/>
        <w:autoSpaceDE w:val="0"/>
        <w:autoSpaceDN w:val="0"/>
        <w:adjustRightInd w:val="0"/>
        <w:jc w:val="both"/>
        <w:rPr>
          <w:lang w:val="es-CO"/>
        </w:rPr>
      </w:pPr>
    </w:p>
    <w:p w14:paraId="06DABC01" w14:textId="125B4ABE" w:rsidR="006D5D69" w:rsidRPr="006D5D69" w:rsidRDefault="00B06935" w:rsidP="00DB3190">
      <w:pPr>
        <w:widowControl w:val="0"/>
        <w:autoSpaceDE w:val="0"/>
        <w:autoSpaceDN w:val="0"/>
        <w:adjustRightInd w:val="0"/>
        <w:jc w:val="both"/>
        <w:rPr>
          <w:color w:val="000000" w:themeColor="text1"/>
          <w:lang w:val="es-CO"/>
        </w:rPr>
      </w:pPr>
      <w:r>
        <w:rPr>
          <w:color w:val="000000" w:themeColor="text1"/>
          <w:lang w:val="es-CO"/>
        </w:rPr>
        <w:t>Por su parte, a</w:t>
      </w:r>
      <w:r w:rsidR="00E9734B" w:rsidRPr="00E9734B">
        <w:rPr>
          <w:color w:val="000000" w:themeColor="text1"/>
          <w:lang w:val="es-CO"/>
        </w:rPr>
        <w:t xml:space="preserve"> la</w:t>
      </w:r>
      <w:r w:rsidR="00A35EB8" w:rsidRPr="00E9734B">
        <w:rPr>
          <w:color w:val="000000" w:themeColor="text1"/>
          <w:lang w:val="es-CO"/>
        </w:rPr>
        <w:t xml:space="preserve"> Sala de Amnist</w:t>
      </w:r>
      <w:r w:rsidR="00A05127" w:rsidRPr="00E9734B">
        <w:rPr>
          <w:color w:val="000000" w:themeColor="text1"/>
          <w:lang w:val="es-CO"/>
        </w:rPr>
        <w:t>ía e Indulto</w:t>
      </w:r>
      <w:r w:rsidR="00E9734B" w:rsidRPr="00E9734B">
        <w:rPr>
          <w:color w:val="000000" w:themeColor="text1"/>
          <w:lang w:val="es-CO"/>
        </w:rPr>
        <w:t xml:space="preserve"> le</w:t>
      </w:r>
      <w:r w:rsidR="00A05127" w:rsidRPr="00E9734B">
        <w:rPr>
          <w:color w:val="000000" w:themeColor="text1"/>
          <w:lang w:val="es-CO"/>
        </w:rPr>
        <w:t xml:space="preserve"> corresponde o</w:t>
      </w:r>
      <w:r w:rsidR="00A05127" w:rsidRPr="00E9734B">
        <w:rPr>
          <w:lang w:val="es-CO"/>
        </w:rPr>
        <w:t>torgar amnist</w:t>
      </w:r>
      <w:r w:rsidR="00A05127" w:rsidRPr="00E9734B">
        <w:rPr>
          <w:rFonts w:cs="Palatino Linotype"/>
          <w:lang w:val="es-CO"/>
        </w:rPr>
        <w:t>í</w:t>
      </w:r>
      <w:r w:rsidR="00A05127" w:rsidRPr="00E9734B">
        <w:rPr>
          <w:lang w:val="es-CO"/>
        </w:rPr>
        <w:t>a o indulto</w:t>
      </w:r>
      <w:r w:rsidR="008051CB">
        <w:rPr>
          <w:lang w:val="es-CO"/>
        </w:rPr>
        <w:t xml:space="preserve"> </w:t>
      </w:r>
      <w:r w:rsidR="00A05127" w:rsidRPr="00E9734B">
        <w:rPr>
          <w:lang w:val="es-CO"/>
        </w:rPr>
        <w:t xml:space="preserve">a las personas procesadas o condenadas por los delitos estipulados como amnistiables, otorgar libertad transitoria y condicionada a comparecientes de las </w:t>
      </w:r>
      <w:r w:rsidR="00E9734B" w:rsidRPr="00E9734B">
        <w:rPr>
          <w:lang w:val="es-CO"/>
        </w:rPr>
        <w:t>FARC</w:t>
      </w:r>
      <w:r w:rsidR="00A05127" w:rsidRPr="00E9734B">
        <w:rPr>
          <w:lang w:val="es-CO"/>
        </w:rPr>
        <w:t>-EP y, aplicar tratamientos jur</w:t>
      </w:r>
      <w:r w:rsidR="00A05127" w:rsidRPr="00E9734B">
        <w:rPr>
          <w:rFonts w:cs="Palatino Linotype"/>
          <w:lang w:val="es-CO"/>
        </w:rPr>
        <w:t>í</w:t>
      </w:r>
      <w:r w:rsidR="00A05127" w:rsidRPr="00E9734B">
        <w:rPr>
          <w:lang w:val="es-CO"/>
        </w:rPr>
        <w:t>dicos especiales a las personas remitidas por la Sala de Reconocimiento de Verdad y Responsabilidad.</w:t>
      </w:r>
      <w:r w:rsidR="00A05127" w:rsidRPr="00A05127">
        <w:rPr>
          <w:lang w:val="es-CO"/>
        </w:rPr>
        <w:t xml:space="preserve"> </w:t>
      </w:r>
    </w:p>
    <w:p w14:paraId="37D60210" w14:textId="77777777" w:rsidR="006D5D69" w:rsidRDefault="006D5D69" w:rsidP="00DB3190">
      <w:pPr>
        <w:widowControl w:val="0"/>
        <w:autoSpaceDE w:val="0"/>
        <w:autoSpaceDN w:val="0"/>
        <w:adjustRightInd w:val="0"/>
        <w:jc w:val="both"/>
        <w:rPr>
          <w:color w:val="000000" w:themeColor="text1"/>
          <w:lang w:val="es-CO"/>
        </w:rPr>
      </w:pPr>
    </w:p>
    <w:p w14:paraId="1E264D2C" w14:textId="4ADEEF5D" w:rsidR="00172B73" w:rsidRDefault="00172B73" w:rsidP="00DB3190">
      <w:pPr>
        <w:widowControl w:val="0"/>
        <w:autoSpaceDE w:val="0"/>
        <w:autoSpaceDN w:val="0"/>
        <w:adjustRightInd w:val="0"/>
        <w:jc w:val="both"/>
        <w:rPr>
          <w:color w:val="000000" w:themeColor="text1"/>
          <w:lang w:val="es-CO"/>
        </w:rPr>
      </w:pPr>
      <w:r w:rsidRPr="00172B73">
        <w:rPr>
          <w:color w:val="000000" w:themeColor="text1"/>
          <w:lang w:val="es-CO"/>
        </w:rPr>
        <w:t>El plan de acción para superar el represamiento en el reparto de asuntos a la S</w:t>
      </w:r>
      <w:r>
        <w:rPr>
          <w:color w:val="000000" w:themeColor="text1"/>
          <w:lang w:val="es-CO"/>
        </w:rPr>
        <w:t xml:space="preserve">ala de Amnistía o Indulto </w:t>
      </w:r>
      <w:r w:rsidRPr="00172B73">
        <w:rPr>
          <w:color w:val="000000" w:themeColor="text1"/>
          <w:lang w:val="es-CO"/>
        </w:rPr>
        <w:t>y el plan para la atención de solicitudes y peticiones represadas y pendientes de trámite en la Secretaría Judicial de la Sala de Definición de S</w:t>
      </w:r>
      <w:r>
        <w:rPr>
          <w:color w:val="000000" w:themeColor="text1"/>
          <w:lang w:val="es-CO"/>
        </w:rPr>
        <w:t>ituaciones Jurídicas (</w:t>
      </w:r>
      <w:r w:rsidRPr="00172B73">
        <w:rPr>
          <w:color w:val="000000" w:themeColor="text1"/>
          <w:lang w:val="es-CO"/>
        </w:rPr>
        <w:t>se construyeron para resolver las situaciones que han afectado la garantía del acceso a la justicia y el cumplimiento de los términ</w:t>
      </w:r>
      <w:r>
        <w:rPr>
          <w:color w:val="000000" w:themeColor="text1"/>
          <w:lang w:val="es-CO"/>
        </w:rPr>
        <w:t xml:space="preserve">os procesales presentadas en las dos Salas </w:t>
      </w:r>
      <w:r w:rsidRPr="00172B73">
        <w:rPr>
          <w:color w:val="000000" w:themeColor="text1"/>
          <w:lang w:val="es-CO"/>
        </w:rPr>
        <w:t>por el elevado número de solicitudes realizadas por las personas vinculadas a los procesos en competencia en la JEP. Los planes implementados durante la vigencia 2019 lograron procesar 5.254 solicitudes en la S</w:t>
      </w:r>
      <w:r>
        <w:rPr>
          <w:color w:val="000000" w:themeColor="text1"/>
          <w:lang w:val="es-CO"/>
        </w:rPr>
        <w:t>ala de Amnistía o Indulto</w:t>
      </w:r>
      <w:r w:rsidRPr="00172B73">
        <w:rPr>
          <w:color w:val="000000" w:themeColor="text1"/>
          <w:lang w:val="es-CO"/>
        </w:rPr>
        <w:t xml:space="preserve"> y 2.989 solicitudes en la </w:t>
      </w:r>
      <w:r>
        <w:rPr>
          <w:color w:val="000000" w:themeColor="text1"/>
          <w:lang w:val="es-CO"/>
        </w:rPr>
        <w:t>Sala de Definición de Situaciones Jurídicas</w:t>
      </w:r>
      <w:r w:rsidRPr="00172B73">
        <w:rPr>
          <w:color w:val="000000" w:themeColor="text1"/>
          <w:lang w:val="es-CO"/>
        </w:rPr>
        <w:t xml:space="preserve"> junto con 273 expedientes provenientes de la justicia ordinaria.</w:t>
      </w:r>
    </w:p>
    <w:p w14:paraId="27C7EBB1" w14:textId="77777777" w:rsidR="00172B73" w:rsidRPr="00172B73" w:rsidRDefault="00172B73" w:rsidP="00DB3190">
      <w:pPr>
        <w:widowControl w:val="0"/>
        <w:autoSpaceDE w:val="0"/>
        <w:autoSpaceDN w:val="0"/>
        <w:adjustRightInd w:val="0"/>
        <w:jc w:val="both"/>
        <w:rPr>
          <w:color w:val="000000" w:themeColor="text1"/>
          <w:lang w:val="es-CO"/>
        </w:rPr>
      </w:pPr>
    </w:p>
    <w:p w14:paraId="4A0BB8C2" w14:textId="7002536F" w:rsidR="00B50809" w:rsidRDefault="00B50809" w:rsidP="00DB3190">
      <w:pPr>
        <w:widowControl w:val="0"/>
        <w:autoSpaceDE w:val="0"/>
        <w:autoSpaceDN w:val="0"/>
        <w:adjustRightInd w:val="0"/>
        <w:jc w:val="both"/>
        <w:rPr>
          <w:color w:val="000000" w:themeColor="text1"/>
          <w:lang w:val="es-CO"/>
        </w:rPr>
      </w:pPr>
      <w:r>
        <w:rPr>
          <w:color w:val="000000" w:themeColor="text1"/>
          <w:lang w:val="es-CO"/>
        </w:rPr>
        <w:t>Con corte al 18 de ma</w:t>
      </w:r>
      <w:r w:rsidR="003F3E25">
        <w:rPr>
          <w:color w:val="000000" w:themeColor="text1"/>
          <w:lang w:val="es-CO"/>
        </w:rPr>
        <w:t>rzo de 2020</w:t>
      </w:r>
      <w:r>
        <w:rPr>
          <w:color w:val="000000" w:themeColor="text1"/>
          <w:lang w:val="es-CO"/>
        </w:rPr>
        <w:t xml:space="preserve">, </w:t>
      </w:r>
      <w:r w:rsidR="004E6F05">
        <w:rPr>
          <w:color w:val="000000" w:themeColor="text1"/>
          <w:lang w:val="es-CO"/>
        </w:rPr>
        <w:t xml:space="preserve">estas dos </w:t>
      </w:r>
      <w:r w:rsidR="00071E10">
        <w:rPr>
          <w:color w:val="000000" w:themeColor="text1"/>
          <w:lang w:val="es-CO"/>
        </w:rPr>
        <w:t>s</w:t>
      </w:r>
      <w:r w:rsidR="004E6F05">
        <w:rPr>
          <w:color w:val="000000" w:themeColor="text1"/>
          <w:lang w:val="es-CO"/>
        </w:rPr>
        <w:t>alas han adoptado 20.333</w:t>
      </w:r>
      <w:r w:rsidR="009A70F1">
        <w:rPr>
          <w:color w:val="000000" w:themeColor="text1"/>
          <w:lang w:val="es-CO"/>
        </w:rPr>
        <w:t xml:space="preserve"> decisiones </w:t>
      </w:r>
      <w:r w:rsidR="004E6F05">
        <w:rPr>
          <w:color w:val="000000" w:themeColor="text1"/>
          <w:lang w:val="es-CO"/>
        </w:rPr>
        <w:t>judiciales</w:t>
      </w:r>
      <w:r w:rsidR="00DB3A1B">
        <w:rPr>
          <w:lang w:val="es-CO"/>
        </w:rPr>
        <w:t>; d</w:t>
      </w:r>
      <w:r w:rsidR="00DB3A1B" w:rsidRPr="00990F0F">
        <w:rPr>
          <w:lang w:val="es-CO"/>
        </w:rPr>
        <w:t>e las cuales, 2523 decisiones s</w:t>
      </w:r>
      <w:r w:rsidR="00DB3A1B">
        <w:rPr>
          <w:lang w:val="es-CO"/>
        </w:rPr>
        <w:t xml:space="preserve">on interlocutorias, relacionadas con las solicitudes de sometimiento y concesión de los beneficios antes citados, </w:t>
      </w:r>
      <w:r w:rsidR="004E6F05">
        <w:rPr>
          <w:color w:val="000000" w:themeColor="text1"/>
          <w:lang w:val="es-CO"/>
        </w:rPr>
        <w:t>correspondientes a 11.229 en sede de la Sala de Definición de Situaciones Jurídicas y 9104 por la Sala de Amnistía e Indultos</w:t>
      </w:r>
      <w:r w:rsidR="003C03DE">
        <w:rPr>
          <w:color w:val="000000" w:themeColor="text1"/>
          <w:lang w:val="es-CO"/>
        </w:rPr>
        <w:t xml:space="preserve"> (Ver Ilustración 2)</w:t>
      </w:r>
      <w:r w:rsidR="004E6F05">
        <w:rPr>
          <w:color w:val="000000" w:themeColor="text1"/>
          <w:lang w:val="es-CO"/>
        </w:rPr>
        <w:t>. Además,</w:t>
      </w:r>
      <w:r w:rsidR="008051CB">
        <w:rPr>
          <w:color w:val="000000" w:themeColor="text1"/>
          <w:lang w:val="es-CO"/>
        </w:rPr>
        <w:t xml:space="preserve"> </w:t>
      </w:r>
      <w:r w:rsidR="00363D12">
        <w:rPr>
          <w:color w:val="000000" w:themeColor="text1"/>
          <w:lang w:val="es-CO"/>
        </w:rPr>
        <w:t xml:space="preserve">se han realizado </w:t>
      </w:r>
      <w:r w:rsidR="008051CB" w:rsidRPr="00990F0F">
        <w:rPr>
          <w:lang w:val="es-CO"/>
        </w:rPr>
        <w:t>5 versiones de aporte a la v</w:t>
      </w:r>
      <w:r w:rsidR="008051CB">
        <w:rPr>
          <w:lang w:val="es-CO"/>
        </w:rPr>
        <w:t>erdad por parte de la Sala de Definición de Situaciones Jurídicas</w:t>
      </w:r>
      <w:r w:rsidR="008051CB">
        <w:rPr>
          <w:color w:val="000000" w:themeColor="text1"/>
          <w:lang w:val="es-CO"/>
        </w:rPr>
        <w:t xml:space="preserve"> y, </w:t>
      </w:r>
      <w:r w:rsidR="00363D12">
        <w:rPr>
          <w:color w:val="000000" w:themeColor="text1"/>
          <w:lang w:val="es-CO"/>
        </w:rPr>
        <w:t>88 audiencias: 22 de situaciones jurídicas y 66 de a</w:t>
      </w:r>
      <w:r>
        <w:rPr>
          <w:color w:val="000000" w:themeColor="text1"/>
          <w:lang w:val="es-CO"/>
        </w:rPr>
        <w:t>mnistía e</w:t>
      </w:r>
      <w:r w:rsidR="00363D12">
        <w:rPr>
          <w:color w:val="000000" w:themeColor="text1"/>
          <w:lang w:val="es-CO"/>
        </w:rPr>
        <w:t xml:space="preserve"> i</w:t>
      </w:r>
      <w:r>
        <w:rPr>
          <w:color w:val="000000" w:themeColor="text1"/>
          <w:lang w:val="es-CO"/>
        </w:rPr>
        <w:t xml:space="preserve">ndultos, </w:t>
      </w:r>
      <w:r w:rsidR="00363D12">
        <w:rPr>
          <w:color w:val="000000" w:themeColor="text1"/>
          <w:lang w:val="es-CO"/>
        </w:rPr>
        <w:t xml:space="preserve">se han </w:t>
      </w:r>
      <w:r>
        <w:rPr>
          <w:color w:val="000000" w:themeColor="text1"/>
          <w:lang w:val="es-CO"/>
        </w:rPr>
        <w:t xml:space="preserve">ha concedido </w:t>
      </w:r>
      <w:r w:rsidRPr="00B50809">
        <w:rPr>
          <w:color w:val="000000" w:themeColor="text1"/>
          <w:lang w:val="es-CO"/>
        </w:rPr>
        <w:t xml:space="preserve">libertades transitorias, condicionadas y anticipadas a </w:t>
      </w:r>
      <w:r>
        <w:rPr>
          <w:color w:val="000000" w:themeColor="text1"/>
          <w:lang w:val="es-CO"/>
        </w:rPr>
        <w:t xml:space="preserve">321 </w:t>
      </w:r>
      <w:r w:rsidRPr="00B50809">
        <w:rPr>
          <w:color w:val="000000" w:themeColor="text1"/>
          <w:lang w:val="es-CO"/>
        </w:rPr>
        <w:t>miembros de la fuerza pública y terceros</w:t>
      </w:r>
      <w:r w:rsidR="003F3E25">
        <w:rPr>
          <w:color w:val="000000" w:themeColor="text1"/>
          <w:lang w:val="es-CO"/>
        </w:rPr>
        <w:t>,</w:t>
      </w:r>
      <w:r w:rsidR="00743BAA">
        <w:rPr>
          <w:color w:val="000000" w:themeColor="text1"/>
          <w:lang w:val="es-CO"/>
        </w:rPr>
        <w:t xml:space="preserve"> y libertades condiciones a 180 </w:t>
      </w:r>
      <w:r w:rsidR="003F3E25">
        <w:rPr>
          <w:color w:val="000000" w:themeColor="text1"/>
          <w:lang w:val="es-CO"/>
        </w:rPr>
        <w:t>excombatientes de las Fa</w:t>
      </w:r>
      <w:r w:rsidR="00743BAA">
        <w:rPr>
          <w:color w:val="000000" w:themeColor="text1"/>
          <w:lang w:val="es-CO"/>
        </w:rPr>
        <w:t>r</w:t>
      </w:r>
      <w:r w:rsidR="003F3E25">
        <w:rPr>
          <w:color w:val="000000" w:themeColor="text1"/>
          <w:lang w:val="es-CO"/>
        </w:rPr>
        <w:t>c</w:t>
      </w:r>
      <w:r w:rsidR="00743BAA">
        <w:rPr>
          <w:color w:val="000000" w:themeColor="text1"/>
          <w:lang w:val="es-CO"/>
        </w:rPr>
        <w:t xml:space="preserve"> </w:t>
      </w:r>
      <w:r w:rsidR="003F3E25">
        <w:rPr>
          <w:color w:val="000000" w:themeColor="text1"/>
          <w:lang w:val="es-CO"/>
        </w:rPr>
        <w:t>–</w:t>
      </w:r>
      <w:r w:rsidR="00743BAA">
        <w:rPr>
          <w:color w:val="000000" w:themeColor="text1"/>
          <w:lang w:val="es-CO"/>
        </w:rPr>
        <w:t xml:space="preserve"> EP</w:t>
      </w:r>
      <w:r w:rsidR="003F3E25">
        <w:rPr>
          <w:color w:val="000000" w:themeColor="text1"/>
          <w:lang w:val="es-CO"/>
        </w:rPr>
        <w:t xml:space="preserve">. Las libertades negadas ascienden a 95 miembros de la fuerza pública y terceros y 1474 resoluciones de no concesión a excombatientes de las Farc –EP. </w:t>
      </w:r>
    </w:p>
    <w:p w14:paraId="5AD0A225" w14:textId="77777777" w:rsidR="003F3E25" w:rsidRDefault="003F3E25" w:rsidP="00DB3190">
      <w:pPr>
        <w:widowControl w:val="0"/>
        <w:autoSpaceDE w:val="0"/>
        <w:autoSpaceDN w:val="0"/>
        <w:adjustRightInd w:val="0"/>
        <w:jc w:val="both"/>
        <w:rPr>
          <w:color w:val="000000" w:themeColor="text1"/>
          <w:lang w:val="es-CO"/>
        </w:rPr>
      </w:pPr>
    </w:p>
    <w:p w14:paraId="70A41807" w14:textId="7FD5D9EE" w:rsidR="00726D5E" w:rsidRDefault="00726D5E" w:rsidP="00DB3190">
      <w:pPr>
        <w:widowControl w:val="0"/>
        <w:autoSpaceDE w:val="0"/>
        <w:autoSpaceDN w:val="0"/>
        <w:adjustRightInd w:val="0"/>
        <w:jc w:val="both"/>
        <w:rPr>
          <w:color w:val="000000" w:themeColor="text1"/>
          <w:lang w:val="es-CO"/>
        </w:rPr>
      </w:pPr>
      <w:r>
        <w:rPr>
          <w:color w:val="000000" w:themeColor="text1"/>
          <w:lang w:val="es-CO"/>
        </w:rPr>
        <w:t>Con corte al 11 de marzo de 2020, se han concedido 210 amnistías a excombatientes de F</w:t>
      </w:r>
      <w:r w:rsidRPr="00726D5E">
        <w:rPr>
          <w:color w:val="000000" w:themeColor="text1"/>
          <w:lang w:val="es-CO"/>
        </w:rPr>
        <w:t>arc-EP</w:t>
      </w:r>
      <w:r>
        <w:rPr>
          <w:color w:val="000000" w:themeColor="text1"/>
          <w:lang w:val="es-CO"/>
        </w:rPr>
        <w:t xml:space="preserve"> y se han negado 1.196.</w:t>
      </w:r>
    </w:p>
    <w:p w14:paraId="4A1682E3" w14:textId="77777777" w:rsidR="00726D5E" w:rsidRDefault="00726D5E" w:rsidP="00DB3190">
      <w:pPr>
        <w:widowControl w:val="0"/>
        <w:autoSpaceDE w:val="0"/>
        <w:autoSpaceDN w:val="0"/>
        <w:adjustRightInd w:val="0"/>
        <w:jc w:val="both"/>
        <w:rPr>
          <w:color w:val="000000" w:themeColor="text1"/>
          <w:lang w:val="es-CO"/>
        </w:rPr>
      </w:pPr>
    </w:p>
    <w:p w14:paraId="42BEF4A3" w14:textId="527651ED" w:rsidR="004B35FE" w:rsidRPr="004B35FE" w:rsidRDefault="004B35FE" w:rsidP="00DB3190">
      <w:pPr>
        <w:widowControl w:val="0"/>
        <w:autoSpaceDE w:val="0"/>
        <w:autoSpaceDN w:val="0"/>
        <w:adjustRightInd w:val="0"/>
        <w:jc w:val="both"/>
        <w:rPr>
          <w:color w:val="000000" w:themeColor="text1"/>
          <w:lang w:val="es-CO"/>
        </w:rPr>
      </w:pPr>
      <w:r>
        <w:rPr>
          <w:color w:val="000000" w:themeColor="text1"/>
          <w:lang w:val="es-CO"/>
        </w:rPr>
        <w:t>L</w:t>
      </w:r>
      <w:r w:rsidRPr="004B35FE">
        <w:rPr>
          <w:color w:val="000000" w:themeColor="text1"/>
          <w:lang w:val="es-CO"/>
        </w:rPr>
        <w:t>a Sala de Definición de Situaciones Jurídicas estima que para el año 2021 se realizar</w:t>
      </w:r>
      <w:r>
        <w:rPr>
          <w:color w:val="000000" w:themeColor="text1"/>
          <w:lang w:val="es-CO"/>
        </w:rPr>
        <w:t>ían</w:t>
      </w:r>
      <w:r w:rsidRPr="004B35FE">
        <w:rPr>
          <w:color w:val="000000" w:themeColor="text1"/>
          <w:lang w:val="es-CO"/>
        </w:rPr>
        <w:t xml:space="preserve"> 50 versiones que surjan en el marco de los sometimientos de agentes de Estado no miembros de la fuerza pública y terceros. Estas diligencias judiciales podrán desarrollarse en territorio o en la sede principal de la Jurisdicción.</w:t>
      </w:r>
    </w:p>
    <w:p w14:paraId="32BBDCBE" w14:textId="77777777" w:rsidR="004B35FE" w:rsidRPr="004B35FE" w:rsidRDefault="004B35FE" w:rsidP="00DB3190">
      <w:pPr>
        <w:widowControl w:val="0"/>
        <w:autoSpaceDE w:val="0"/>
        <w:autoSpaceDN w:val="0"/>
        <w:adjustRightInd w:val="0"/>
        <w:jc w:val="both"/>
        <w:rPr>
          <w:color w:val="000000" w:themeColor="text1"/>
          <w:lang w:val="es-CO"/>
        </w:rPr>
      </w:pPr>
      <w:r w:rsidRPr="004B35FE">
        <w:rPr>
          <w:color w:val="000000" w:themeColor="text1"/>
          <w:lang w:val="es-CO"/>
        </w:rPr>
        <w:lastRenderedPageBreak/>
        <w:t xml:space="preserve"> </w:t>
      </w:r>
    </w:p>
    <w:p w14:paraId="6C104275" w14:textId="63312885" w:rsidR="004B35FE" w:rsidRPr="004B35FE" w:rsidRDefault="004B35FE" w:rsidP="00DB3190">
      <w:pPr>
        <w:widowControl w:val="0"/>
        <w:autoSpaceDE w:val="0"/>
        <w:autoSpaceDN w:val="0"/>
        <w:adjustRightInd w:val="0"/>
        <w:jc w:val="both"/>
        <w:rPr>
          <w:color w:val="000000" w:themeColor="text1"/>
          <w:lang w:val="es-CO"/>
        </w:rPr>
      </w:pPr>
      <w:r w:rsidRPr="004B35FE">
        <w:rPr>
          <w:color w:val="000000" w:themeColor="text1"/>
          <w:lang w:val="es-CO"/>
        </w:rPr>
        <w:t xml:space="preserve">Los participantes, en principio, serán los comparecientes, sus abogados y </w:t>
      </w:r>
      <w:r>
        <w:rPr>
          <w:color w:val="000000" w:themeColor="text1"/>
          <w:lang w:val="es-CO"/>
        </w:rPr>
        <w:t xml:space="preserve">el </w:t>
      </w:r>
      <w:r w:rsidRPr="004B35FE">
        <w:rPr>
          <w:color w:val="000000" w:themeColor="text1"/>
          <w:lang w:val="es-CO"/>
        </w:rPr>
        <w:t>Ministerio Público, aunque vale aclarar que dependiendo del caso concreto podrían ser convocadas víctimas o sus representant</w:t>
      </w:r>
      <w:r w:rsidR="00492281">
        <w:rPr>
          <w:color w:val="000000" w:themeColor="text1"/>
          <w:lang w:val="es-CO"/>
        </w:rPr>
        <w:t>es. Para citar un ejemplo, para</w:t>
      </w:r>
      <w:r w:rsidRPr="004B35FE">
        <w:rPr>
          <w:color w:val="000000" w:themeColor="text1"/>
          <w:lang w:val="es-CO"/>
        </w:rPr>
        <w:t xml:space="preserve"> una diligencia que se tiene prevista en el primer semestre de 2020, estaban convocadas alrededor de 113 víctimas de Urabá.</w:t>
      </w:r>
    </w:p>
    <w:p w14:paraId="46D26FC0" w14:textId="77777777" w:rsidR="004B35FE" w:rsidRPr="004B35FE" w:rsidRDefault="004B35FE" w:rsidP="00DB3190">
      <w:pPr>
        <w:widowControl w:val="0"/>
        <w:autoSpaceDE w:val="0"/>
        <w:autoSpaceDN w:val="0"/>
        <w:adjustRightInd w:val="0"/>
        <w:jc w:val="both"/>
        <w:rPr>
          <w:color w:val="000000" w:themeColor="text1"/>
          <w:lang w:val="es-CO"/>
        </w:rPr>
      </w:pPr>
      <w:r w:rsidRPr="004B35FE">
        <w:rPr>
          <w:color w:val="000000" w:themeColor="text1"/>
          <w:lang w:val="es-CO"/>
        </w:rPr>
        <w:t xml:space="preserve"> </w:t>
      </w:r>
    </w:p>
    <w:p w14:paraId="1215EC4C" w14:textId="4A8EE7CC" w:rsidR="004B35FE" w:rsidRDefault="004B35FE" w:rsidP="00DB3190">
      <w:pPr>
        <w:widowControl w:val="0"/>
        <w:autoSpaceDE w:val="0"/>
        <w:autoSpaceDN w:val="0"/>
        <w:adjustRightInd w:val="0"/>
        <w:jc w:val="both"/>
        <w:rPr>
          <w:color w:val="000000" w:themeColor="text1"/>
          <w:lang w:val="es-CO"/>
        </w:rPr>
      </w:pPr>
      <w:r w:rsidRPr="004B35FE">
        <w:rPr>
          <w:color w:val="000000" w:themeColor="text1"/>
          <w:lang w:val="es-CO"/>
        </w:rPr>
        <w:t>De otro lado, es importante tener en cuenta que cuando las decisiones proferidas por la Sala de Definición de Situaciones Jurídicas involucran a miembros de comunidades étnicas, estos deben ser notificados con pertinencia cultural, lo que implica una diligencia particular de notificación. En la actualidad la Sala cuenta con cerca de 20 casos de estos y para el año 2021 se estima un incremento.</w:t>
      </w:r>
    </w:p>
    <w:p w14:paraId="675F49AF" w14:textId="4D9AB0D7" w:rsidR="00CE4DAF" w:rsidRDefault="00CE4DAF" w:rsidP="00DB3190">
      <w:pPr>
        <w:widowControl w:val="0"/>
        <w:autoSpaceDE w:val="0"/>
        <w:autoSpaceDN w:val="0"/>
        <w:adjustRightInd w:val="0"/>
        <w:jc w:val="both"/>
        <w:rPr>
          <w:color w:val="000000" w:themeColor="text1"/>
          <w:lang w:val="es-CO"/>
        </w:rPr>
      </w:pPr>
    </w:p>
    <w:p w14:paraId="1D7D5276" w14:textId="77777777" w:rsidR="00CE4DAF" w:rsidRDefault="00CE4DAF" w:rsidP="00DB3190">
      <w:pPr>
        <w:widowControl w:val="0"/>
        <w:autoSpaceDE w:val="0"/>
        <w:autoSpaceDN w:val="0"/>
        <w:adjustRightInd w:val="0"/>
        <w:jc w:val="both"/>
        <w:rPr>
          <w:color w:val="000000" w:themeColor="text1"/>
          <w:lang w:val="es-CO"/>
        </w:rPr>
      </w:pPr>
      <w:r>
        <w:rPr>
          <w:color w:val="000000" w:themeColor="text1"/>
          <w:lang w:val="es-CO"/>
        </w:rPr>
        <w:t>En el cumplimiento de este objetivo estratégico es fundamental, nuevamente, el desempeño del grupo de SAAD Comparecientes.</w:t>
      </w:r>
    </w:p>
    <w:p w14:paraId="3379FA16" w14:textId="77777777" w:rsidR="004B35FE" w:rsidRPr="00726D5E" w:rsidRDefault="004B35FE" w:rsidP="00DB3190">
      <w:pPr>
        <w:widowControl w:val="0"/>
        <w:autoSpaceDE w:val="0"/>
        <w:autoSpaceDN w:val="0"/>
        <w:adjustRightInd w:val="0"/>
        <w:jc w:val="both"/>
        <w:rPr>
          <w:color w:val="000000" w:themeColor="text1"/>
          <w:lang w:val="es-CO"/>
        </w:rPr>
      </w:pPr>
    </w:p>
    <w:p w14:paraId="7C2D6860" w14:textId="5D3B219C" w:rsidR="00DB3155" w:rsidRDefault="00DB3155" w:rsidP="00DB3190">
      <w:pPr>
        <w:pStyle w:val="Prrafodelista"/>
        <w:widowControl w:val="0"/>
        <w:numPr>
          <w:ilvl w:val="0"/>
          <w:numId w:val="29"/>
        </w:numPr>
        <w:autoSpaceDE w:val="0"/>
        <w:autoSpaceDN w:val="0"/>
        <w:adjustRightInd w:val="0"/>
        <w:jc w:val="both"/>
        <w:rPr>
          <w:b/>
          <w:color w:val="000000" w:themeColor="text1"/>
          <w:lang w:val="es-CO"/>
        </w:rPr>
      </w:pPr>
      <w:r w:rsidRPr="00DE672B">
        <w:rPr>
          <w:b/>
          <w:color w:val="2F5496" w:themeColor="accent1" w:themeShade="BF"/>
          <w:lang w:val="es-CO"/>
        </w:rPr>
        <w:t>Tercer Objetivo</w:t>
      </w:r>
      <w:r w:rsidR="00492281">
        <w:rPr>
          <w:b/>
          <w:color w:val="2F5496" w:themeColor="accent1" w:themeShade="BF"/>
          <w:lang w:val="es-CO"/>
        </w:rPr>
        <w:t xml:space="preserve"> Estratégico</w:t>
      </w:r>
      <w:r w:rsidRPr="00DE672B">
        <w:rPr>
          <w:b/>
          <w:color w:val="2F5496" w:themeColor="accent1" w:themeShade="BF"/>
          <w:lang w:val="es-CO"/>
        </w:rPr>
        <w:t xml:space="preserve">: </w:t>
      </w:r>
      <w:r w:rsidRPr="00DE672B">
        <w:rPr>
          <w:b/>
          <w:color w:val="000000" w:themeColor="text1"/>
          <w:lang w:val="es-CO"/>
        </w:rPr>
        <w:t>Satisfacer los derechos de las víctimas a la justicia, la verdad y, contribuir a la satisfacción de los derechos a la reparación y no repetición como componente judicial del SIVJRNR, garantizando su participación efectiva ante la JEP.</w:t>
      </w:r>
    </w:p>
    <w:p w14:paraId="38ABF566" w14:textId="77777777" w:rsidR="004428E3" w:rsidRDefault="004428E3" w:rsidP="00DB3190">
      <w:pPr>
        <w:widowControl w:val="0"/>
        <w:autoSpaceDE w:val="0"/>
        <w:autoSpaceDN w:val="0"/>
        <w:adjustRightInd w:val="0"/>
        <w:jc w:val="both"/>
        <w:rPr>
          <w:color w:val="000000" w:themeColor="text1"/>
          <w:lang w:val="es-MX"/>
        </w:rPr>
      </w:pPr>
    </w:p>
    <w:p w14:paraId="72D9ADAA" w14:textId="00735AFC" w:rsidR="003C34A5" w:rsidRPr="002449A6" w:rsidRDefault="000A42E1" w:rsidP="00DB3190">
      <w:pPr>
        <w:widowControl w:val="0"/>
        <w:autoSpaceDE w:val="0"/>
        <w:autoSpaceDN w:val="0"/>
        <w:adjustRightInd w:val="0"/>
        <w:jc w:val="both"/>
        <w:rPr>
          <w:color w:val="000000" w:themeColor="text1"/>
          <w:lang w:val="es-MX"/>
        </w:rPr>
      </w:pPr>
      <w:r>
        <w:rPr>
          <w:color w:val="000000" w:themeColor="text1"/>
          <w:lang w:val="es-MX"/>
        </w:rPr>
        <w:t xml:space="preserve">A </w:t>
      </w:r>
      <w:r w:rsidR="003959DE">
        <w:rPr>
          <w:color w:val="000000" w:themeColor="text1"/>
          <w:lang w:val="es-MX"/>
        </w:rPr>
        <w:t>la UIA</w:t>
      </w:r>
      <w:r>
        <w:rPr>
          <w:color w:val="000000" w:themeColor="text1"/>
          <w:lang w:val="es-MX"/>
        </w:rPr>
        <w:t xml:space="preserve"> también le corresponde r</w:t>
      </w:r>
      <w:r w:rsidR="004428E3" w:rsidRPr="007674B8">
        <w:rPr>
          <w:color w:val="000000" w:themeColor="text1"/>
          <w:lang w:val="es-MX"/>
        </w:rPr>
        <w:t>ealizar el estudio de riesgo y prestación del servicio de protección a víctimas</w:t>
      </w:r>
      <w:r w:rsidR="004428E3">
        <w:rPr>
          <w:color w:val="000000" w:themeColor="text1"/>
          <w:lang w:val="es-MX"/>
        </w:rPr>
        <w:t>, comparecientes, intervinientes y testigos</w:t>
      </w:r>
      <w:r>
        <w:rPr>
          <w:color w:val="000000" w:themeColor="text1"/>
          <w:lang w:val="es-MX"/>
        </w:rPr>
        <w:t>,</w:t>
      </w:r>
      <w:r w:rsidR="00CE4DAF">
        <w:rPr>
          <w:color w:val="000000" w:themeColor="text1"/>
          <w:lang w:val="es-MX"/>
        </w:rPr>
        <w:t xml:space="preserve"> como garantía de no repetición. Esto</w:t>
      </w:r>
      <w:r>
        <w:rPr>
          <w:color w:val="000000" w:themeColor="text1"/>
          <w:lang w:val="es-MX"/>
        </w:rPr>
        <w:t xml:space="preserve"> en correspondencia con lo dispuesto en el </w:t>
      </w:r>
      <w:r w:rsidR="00492281">
        <w:rPr>
          <w:color w:val="000000" w:themeColor="text1"/>
          <w:lang w:val="es-MX"/>
        </w:rPr>
        <w:t xml:space="preserve">literal b del artículo 87 de la </w:t>
      </w:r>
      <w:r w:rsidR="00492281" w:rsidRPr="007674B8">
        <w:rPr>
          <w:color w:val="000000" w:themeColor="text1"/>
          <w:lang w:val="es-MX"/>
        </w:rPr>
        <w:t xml:space="preserve">Ley </w:t>
      </w:r>
      <w:r w:rsidR="00492281">
        <w:rPr>
          <w:color w:val="000000" w:themeColor="text1"/>
          <w:lang w:val="es-MX"/>
        </w:rPr>
        <w:t xml:space="preserve">Estatutaria </w:t>
      </w:r>
      <w:r w:rsidR="00492281" w:rsidRPr="00560105">
        <w:rPr>
          <w:iCs/>
          <w:color w:val="000000" w:themeColor="text1"/>
          <w:lang w:val="es-MX"/>
        </w:rPr>
        <w:t>de Administración de Justicia en la Ju</w:t>
      </w:r>
      <w:r w:rsidR="00492281">
        <w:rPr>
          <w:iCs/>
          <w:color w:val="000000" w:themeColor="text1"/>
          <w:lang w:val="es-MX"/>
        </w:rPr>
        <w:t xml:space="preserve">risdicción Especial para la Paz - </w:t>
      </w:r>
      <w:r w:rsidR="00492281" w:rsidRPr="007674B8">
        <w:rPr>
          <w:color w:val="000000" w:themeColor="text1"/>
          <w:lang w:val="es-MX"/>
        </w:rPr>
        <w:t xml:space="preserve">1957 de </w:t>
      </w:r>
      <w:r w:rsidR="00492281">
        <w:rPr>
          <w:color w:val="000000" w:themeColor="text1"/>
          <w:lang w:val="es-MX"/>
        </w:rPr>
        <w:t>2019.</w:t>
      </w:r>
    </w:p>
    <w:p w14:paraId="052FCB61" w14:textId="77777777" w:rsidR="004428E3" w:rsidRDefault="004428E3" w:rsidP="00DB3190">
      <w:pPr>
        <w:widowControl w:val="0"/>
        <w:autoSpaceDE w:val="0"/>
        <w:autoSpaceDN w:val="0"/>
        <w:adjustRightInd w:val="0"/>
        <w:jc w:val="both"/>
        <w:rPr>
          <w:color w:val="000000" w:themeColor="text1"/>
          <w:lang w:val="es-MX"/>
        </w:rPr>
      </w:pPr>
    </w:p>
    <w:p w14:paraId="1599FF3D" w14:textId="64763469" w:rsidR="004428E3" w:rsidRDefault="00113C7D" w:rsidP="00DB3190">
      <w:pPr>
        <w:widowControl w:val="0"/>
        <w:autoSpaceDE w:val="0"/>
        <w:autoSpaceDN w:val="0"/>
        <w:adjustRightInd w:val="0"/>
        <w:jc w:val="both"/>
        <w:rPr>
          <w:lang w:val="es-CO"/>
        </w:rPr>
      </w:pPr>
      <w:r>
        <w:rPr>
          <w:lang w:val="es-CO"/>
        </w:rPr>
        <w:t>En coherencia, d</w:t>
      </w:r>
      <w:r w:rsidR="0057754D">
        <w:rPr>
          <w:lang w:val="es-CO"/>
        </w:rPr>
        <w:t xml:space="preserve">urante </w:t>
      </w:r>
      <w:r>
        <w:rPr>
          <w:lang w:val="es-CO"/>
        </w:rPr>
        <w:t>el 2019</w:t>
      </w:r>
      <w:r w:rsidR="0057754D">
        <w:rPr>
          <w:lang w:val="es-CO"/>
        </w:rPr>
        <w:t xml:space="preserve"> la UIA </w:t>
      </w:r>
      <w:r w:rsidR="00E0327C">
        <w:rPr>
          <w:lang w:val="es-CO"/>
        </w:rPr>
        <w:t xml:space="preserve">se le asignaron </w:t>
      </w:r>
      <w:r w:rsidR="00E0327C" w:rsidRPr="00E0327C">
        <w:rPr>
          <w:lang w:val="es-CO"/>
        </w:rPr>
        <w:t xml:space="preserve">149 solicitudes de protección </w:t>
      </w:r>
      <w:r w:rsidR="00E0327C">
        <w:rPr>
          <w:lang w:val="es-CO"/>
        </w:rPr>
        <w:t>y</w:t>
      </w:r>
      <w:r w:rsidR="00E0327C" w:rsidRPr="00E0327C">
        <w:rPr>
          <w:lang w:val="es-CO"/>
        </w:rPr>
        <w:t xml:space="preserve"> </w:t>
      </w:r>
      <w:r w:rsidR="0057754D">
        <w:rPr>
          <w:lang w:val="es-CO"/>
        </w:rPr>
        <w:t>g</w:t>
      </w:r>
      <w:r w:rsidR="0096747B" w:rsidRPr="0096747B">
        <w:rPr>
          <w:lang w:val="es-CO"/>
        </w:rPr>
        <w:t>esti</w:t>
      </w:r>
      <w:r w:rsidR="0057754D">
        <w:rPr>
          <w:lang w:val="es-CO"/>
        </w:rPr>
        <w:t>o</w:t>
      </w:r>
      <w:r w:rsidR="0096747B" w:rsidRPr="0096747B">
        <w:rPr>
          <w:lang w:val="es-CO"/>
        </w:rPr>
        <w:t>n</w:t>
      </w:r>
      <w:r>
        <w:rPr>
          <w:lang w:val="es-CO"/>
        </w:rPr>
        <w:t>ó</w:t>
      </w:r>
      <w:r w:rsidR="0096747B" w:rsidRPr="0096747B">
        <w:rPr>
          <w:lang w:val="es-CO"/>
        </w:rPr>
        <w:t xml:space="preserve"> 139 solicitudes de evaluación de riesgo que abarcan 285 personas</w:t>
      </w:r>
      <w:r w:rsidR="0057754D">
        <w:rPr>
          <w:lang w:val="es-CO"/>
        </w:rPr>
        <w:t xml:space="preserve">, 38 de ellas con riesgo extraordinario. </w:t>
      </w:r>
      <w:r w:rsidR="00CC63BC">
        <w:rPr>
          <w:lang w:val="es-CO"/>
        </w:rPr>
        <w:t xml:space="preserve">Adicionalmente, expidió </w:t>
      </w:r>
      <w:r w:rsidR="00CC63BC" w:rsidRPr="00CC63BC">
        <w:rPr>
          <w:lang w:val="es-CO"/>
        </w:rPr>
        <w:t>68 actos administrativos de los casos presentados en Comité de Evaluación de Riesgo y Definición de Medidas</w:t>
      </w:r>
      <w:r w:rsidR="00CC63BC">
        <w:rPr>
          <w:lang w:val="es-CO"/>
        </w:rPr>
        <w:t>, de los cuales solo 3 indicaban que las med</w:t>
      </w:r>
      <w:r w:rsidR="00CC63BC" w:rsidRPr="00CC63BC">
        <w:rPr>
          <w:lang w:val="es-CO"/>
        </w:rPr>
        <w:t>idas</w:t>
      </w:r>
      <w:r w:rsidR="00CC63BC">
        <w:rPr>
          <w:lang w:val="es-CO"/>
        </w:rPr>
        <w:t xml:space="preserve"> de protección las podían poner en marcha otras entidades diferentes a la JEP. </w:t>
      </w:r>
    </w:p>
    <w:p w14:paraId="25C58932" w14:textId="77777777" w:rsidR="00CE4DAF" w:rsidRDefault="00CE4DAF" w:rsidP="00DB3190">
      <w:pPr>
        <w:widowControl w:val="0"/>
        <w:autoSpaceDE w:val="0"/>
        <w:autoSpaceDN w:val="0"/>
        <w:adjustRightInd w:val="0"/>
        <w:jc w:val="both"/>
        <w:rPr>
          <w:lang w:val="es-CO"/>
        </w:rPr>
      </w:pPr>
    </w:p>
    <w:p w14:paraId="6EF8F190" w14:textId="4F543215" w:rsidR="002449A6" w:rsidRDefault="002449A6" w:rsidP="00DB3190">
      <w:pPr>
        <w:widowControl w:val="0"/>
        <w:autoSpaceDE w:val="0"/>
        <w:autoSpaceDN w:val="0"/>
        <w:adjustRightInd w:val="0"/>
        <w:jc w:val="both"/>
        <w:rPr>
          <w:lang w:val="es-CO"/>
        </w:rPr>
      </w:pPr>
      <w:r>
        <w:rPr>
          <w:lang w:val="es-CO"/>
        </w:rPr>
        <w:t>Desde la Secretaría Ejecutiva, se destaca que:</w:t>
      </w:r>
    </w:p>
    <w:p w14:paraId="3CC1BE05" w14:textId="77777777" w:rsidR="002449A6" w:rsidRDefault="002449A6" w:rsidP="00DB3190">
      <w:pPr>
        <w:pStyle w:val="Prrafodelista"/>
        <w:widowControl w:val="0"/>
        <w:numPr>
          <w:ilvl w:val="0"/>
          <w:numId w:val="30"/>
        </w:numPr>
        <w:autoSpaceDE w:val="0"/>
        <w:autoSpaceDN w:val="0"/>
        <w:adjustRightInd w:val="0"/>
        <w:jc w:val="both"/>
        <w:rPr>
          <w:lang w:val="es-CO"/>
        </w:rPr>
      </w:pPr>
      <w:r w:rsidRPr="0007131E">
        <w:rPr>
          <w:lang w:val="es-CO"/>
        </w:rPr>
        <w:t xml:space="preserve">22.889 víctimas individuales </w:t>
      </w:r>
      <w:r>
        <w:rPr>
          <w:lang w:val="es-CO"/>
        </w:rPr>
        <w:t>participaro</w:t>
      </w:r>
      <w:r w:rsidRPr="0007131E">
        <w:rPr>
          <w:lang w:val="es-CO"/>
        </w:rPr>
        <w:t xml:space="preserve">n </w:t>
      </w:r>
      <w:r>
        <w:rPr>
          <w:lang w:val="es-CO"/>
        </w:rPr>
        <w:t xml:space="preserve">en 552 </w:t>
      </w:r>
      <w:r w:rsidRPr="0007131E">
        <w:rPr>
          <w:lang w:val="es-CO"/>
        </w:rPr>
        <w:t>actividades de difusión, pedagogía y producción derivados de la guía para la presentación de informe</w:t>
      </w:r>
      <w:r>
        <w:rPr>
          <w:lang w:val="es-CO"/>
        </w:rPr>
        <w:t>.</w:t>
      </w:r>
    </w:p>
    <w:p w14:paraId="6FA3923E" w14:textId="77777777" w:rsidR="002449A6" w:rsidRDefault="002449A6" w:rsidP="00DB3190">
      <w:pPr>
        <w:pStyle w:val="Prrafodelista"/>
        <w:widowControl w:val="0"/>
        <w:numPr>
          <w:ilvl w:val="0"/>
          <w:numId w:val="30"/>
        </w:numPr>
        <w:autoSpaceDE w:val="0"/>
        <w:autoSpaceDN w:val="0"/>
        <w:adjustRightInd w:val="0"/>
        <w:jc w:val="both"/>
        <w:rPr>
          <w:lang w:val="es-CO"/>
        </w:rPr>
      </w:pPr>
      <w:r>
        <w:rPr>
          <w:lang w:val="es-CO"/>
        </w:rPr>
        <w:t xml:space="preserve">509 </w:t>
      </w:r>
      <w:r w:rsidRPr="0007131E">
        <w:rPr>
          <w:lang w:val="es-CO"/>
        </w:rPr>
        <w:t xml:space="preserve">víctimas </w:t>
      </w:r>
      <w:r>
        <w:rPr>
          <w:lang w:val="es-CO"/>
        </w:rPr>
        <w:t>r</w:t>
      </w:r>
      <w:r w:rsidRPr="0007131E">
        <w:rPr>
          <w:lang w:val="es-CO"/>
        </w:rPr>
        <w:t>ecibi</w:t>
      </w:r>
      <w:r>
        <w:rPr>
          <w:lang w:val="es-CO"/>
        </w:rPr>
        <w:t>er</w:t>
      </w:r>
      <w:r w:rsidRPr="0007131E">
        <w:rPr>
          <w:lang w:val="es-CO"/>
        </w:rPr>
        <w:t>o</w:t>
      </w:r>
      <w:r>
        <w:rPr>
          <w:lang w:val="es-CO"/>
        </w:rPr>
        <w:t>n</w:t>
      </w:r>
      <w:r w:rsidRPr="0007131E">
        <w:rPr>
          <w:lang w:val="es-CO"/>
        </w:rPr>
        <w:t xml:space="preserve"> acompañamiento </w:t>
      </w:r>
      <w:proofErr w:type="spellStart"/>
      <w:r w:rsidRPr="0007131E">
        <w:rPr>
          <w:lang w:val="es-CO"/>
        </w:rPr>
        <w:t>psicojurídico</w:t>
      </w:r>
      <w:proofErr w:type="spellEnd"/>
      <w:r w:rsidRPr="0007131E">
        <w:rPr>
          <w:lang w:val="es-CO"/>
        </w:rPr>
        <w:t xml:space="preserve"> en diligencias judiciales</w:t>
      </w:r>
      <w:r>
        <w:rPr>
          <w:lang w:val="es-CO"/>
        </w:rPr>
        <w:t xml:space="preserve"> y </w:t>
      </w:r>
      <w:r w:rsidRPr="0007131E">
        <w:rPr>
          <w:lang w:val="es-CO"/>
        </w:rPr>
        <w:t>3.348 recibi</w:t>
      </w:r>
      <w:r>
        <w:rPr>
          <w:lang w:val="es-CO"/>
        </w:rPr>
        <w:t>eron</w:t>
      </w:r>
      <w:r w:rsidRPr="0007131E">
        <w:rPr>
          <w:lang w:val="es-CO"/>
        </w:rPr>
        <w:t xml:space="preserve"> asistencia material</w:t>
      </w:r>
      <w:r>
        <w:rPr>
          <w:lang w:val="es-CO"/>
        </w:rPr>
        <w:t>.</w:t>
      </w:r>
    </w:p>
    <w:p w14:paraId="441034AE" w14:textId="774611EA" w:rsidR="002449A6" w:rsidRPr="002449A6" w:rsidRDefault="002449A6" w:rsidP="00DB3190">
      <w:pPr>
        <w:pStyle w:val="Prrafodelista"/>
        <w:widowControl w:val="0"/>
        <w:numPr>
          <w:ilvl w:val="0"/>
          <w:numId w:val="30"/>
        </w:numPr>
        <w:autoSpaceDE w:val="0"/>
        <w:autoSpaceDN w:val="0"/>
        <w:adjustRightInd w:val="0"/>
        <w:jc w:val="both"/>
        <w:rPr>
          <w:lang w:val="es-CO"/>
        </w:rPr>
      </w:pPr>
      <w:r w:rsidRPr="002449A6">
        <w:rPr>
          <w:lang w:val="es-CO"/>
        </w:rPr>
        <w:t>12.983 ciudadanos fueron atendidos por el Departamento de Atención al Ciudadano, principalmente en canal presencial (5.951) y telefónico (5.944).</w:t>
      </w:r>
    </w:p>
    <w:p w14:paraId="787964F3" w14:textId="77777777" w:rsidR="00B13D11" w:rsidRDefault="00B13D11" w:rsidP="00DB3190">
      <w:pPr>
        <w:widowControl w:val="0"/>
        <w:autoSpaceDE w:val="0"/>
        <w:autoSpaceDN w:val="0"/>
        <w:adjustRightInd w:val="0"/>
        <w:jc w:val="both"/>
        <w:rPr>
          <w:lang w:val="es-CO"/>
        </w:rPr>
      </w:pPr>
    </w:p>
    <w:p w14:paraId="53E268C2" w14:textId="114D88F6" w:rsidR="00DB3155" w:rsidRDefault="00DB3155" w:rsidP="00DB3190">
      <w:pPr>
        <w:pStyle w:val="Prrafodelista"/>
        <w:widowControl w:val="0"/>
        <w:numPr>
          <w:ilvl w:val="0"/>
          <w:numId w:val="29"/>
        </w:numPr>
        <w:autoSpaceDE w:val="0"/>
        <w:autoSpaceDN w:val="0"/>
        <w:adjustRightInd w:val="0"/>
        <w:jc w:val="both"/>
        <w:rPr>
          <w:b/>
          <w:color w:val="000000" w:themeColor="text1"/>
          <w:lang w:val="es-CO"/>
        </w:rPr>
      </w:pPr>
      <w:r w:rsidRPr="00AC580A">
        <w:rPr>
          <w:b/>
          <w:color w:val="2F5496" w:themeColor="accent1" w:themeShade="BF"/>
          <w:lang w:val="es-CO"/>
        </w:rPr>
        <w:t>Cuarto Objetivo</w:t>
      </w:r>
      <w:r w:rsidR="00AF367B">
        <w:rPr>
          <w:b/>
          <w:color w:val="2F5496" w:themeColor="accent1" w:themeShade="BF"/>
          <w:lang w:val="es-CO"/>
        </w:rPr>
        <w:t xml:space="preserve"> Estratégico</w:t>
      </w:r>
      <w:r w:rsidRPr="00AC580A">
        <w:rPr>
          <w:b/>
          <w:color w:val="2F5496" w:themeColor="accent1" w:themeShade="BF"/>
          <w:lang w:val="es-CO"/>
        </w:rPr>
        <w:t>:</w:t>
      </w:r>
      <w:r w:rsidRPr="00AC580A">
        <w:rPr>
          <w:b/>
          <w:color w:val="000000" w:themeColor="text1"/>
          <w:lang w:val="es-CO"/>
        </w:rPr>
        <w:t xml:space="preserve"> Ser reconocidos como una entidad legítima y confiable, mediante la comunicación constante y clara de su gestión, y la </w:t>
      </w:r>
      <w:r w:rsidRPr="00AC580A">
        <w:rPr>
          <w:b/>
          <w:color w:val="000000" w:themeColor="text1"/>
          <w:lang w:val="es-CO"/>
        </w:rPr>
        <w:lastRenderedPageBreak/>
        <w:t>activa participación de los distintos actores en la construcción de la paz y la búsqueda de la reconciliación.</w:t>
      </w:r>
    </w:p>
    <w:p w14:paraId="45546638" w14:textId="5007D9BE" w:rsidR="00AC580A" w:rsidRPr="00F903D3" w:rsidRDefault="00AC580A" w:rsidP="00DB3190">
      <w:pPr>
        <w:widowControl w:val="0"/>
        <w:autoSpaceDE w:val="0"/>
        <w:autoSpaceDN w:val="0"/>
        <w:adjustRightInd w:val="0"/>
        <w:jc w:val="both"/>
        <w:rPr>
          <w:b/>
          <w:color w:val="000000" w:themeColor="text1"/>
          <w:sz w:val="18"/>
          <w:szCs w:val="18"/>
          <w:lang w:val="es-CO"/>
        </w:rPr>
      </w:pPr>
    </w:p>
    <w:p w14:paraId="583937EF" w14:textId="459FAE79" w:rsidR="002449A6" w:rsidRPr="00F903D3" w:rsidRDefault="002449A6" w:rsidP="00DB3190">
      <w:pPr>
        <w:widowControl w:val="0"/>
        <w:autoSpaceDE w:val="0"/>
        <w:autoSpaceDN w:val="0"/>
        <w:adjustRightInd w:val="0"/>
        <w:jc w:val="both"/>
        <w:rPr>
          <w:bCs/>
          <w:color w:val="000000" w:themeColor="text1"/>
          <w:lang w:val="es-CO"/>
        </w:rPr>
      </w:pPr>
      <w:r w:rsidRPr="00F903D3">
        <w:rPr>
          <w:bCs/>
          <w:color w:val="000000" w:themeColor="text1"/>
          <w:lang w:val="es-CO"/>
        </w:rPr>
        <w:t>Se destacan las actividades en pedagogía y divulgación de la misionalidad de la entidad:</w:t>
      </w:r>
    </w:p>
    <w:p w14:paraId="17E583E5" w14:textId="19F52D14" w:rsidR="002449A6" w:rsidRPr="00F903D3" w:rsidRDefault="002449A6" w:rsidP="00DB3190">
      <w:pPr>
        <w:pStyle w:val="Prrafodelista"/>
        <w:widowControl w:val="0"/>
        <w:numPr>
          <w:ilvl w:val="0"/>
          <w:numId w:val="30"/>
        </w:numPr>
        <w:autoSpaceDE w:val="0"/>
        <w:autoSpaceDN w:val="0"/>
        <w:adjustRightInd w:val="0"/>
        <w:jc w:val="both"/>
        <w:rPr>
          <w:lang w:val="es-CO"/>
        </w:rPr>
      </w:pPr>
      <w:r w:rsidRPr="00F903D3">
        <w:rPr>
          <w:lang w:val="es-CO"/>
        </w:rPr>
        <w:t xml:space="preserve">Se realizaron 759 eventos de difusión y pedagogía impactando 24.344 personas. </w:t>
      </w:r>
    </w:p>
    <w:p w14:paraId="6DCF18ED" w14:textId="4BD157B9" w:rsidR="002449A6" w:rsidRPr="00F903D3" w:rsidRDefault="002449A6" w:rsidP="00DB3190">
      <w:pPr>
        <w:widowControl w:val="0"/>
        <w:autoSpaceDE w:val="0"/>
        <w:autoSpaceDN w:val="0"/>
        <w:adjustRightInd w:val="0"/>
        <w:jc w:val="both"/>
        <w:rPr>
          <w:lang w:val="es-CO"/>
        </w:rPr>
      </w:pPr>
    </w:p>
    <w:p w14:paraId="391F2E46" w14:textId="5073DD10" w:rsidR="002449A6" w:rsidRPr="00F903D3" w:rsidRDefault="002449A6" w:rsidP="00DB3190">
      <w:pPr>
        <w:widowControl w:val="0"/>
        <w:autoSpaceDE w:val="0"/>
        <w:autoSpaceDN w:val="0"/>
        <w:adjustRightInd w:val="0"/>
        <w:jc w:val="both"/>
        <w:rPr>
          <w:lang w:val="es-CO"/>
        </w:rPr>
      </w:pPr>
      <w:r w:rsidRPr="00F903D3">
        <w:rPr>
          <w:lang w:val="es-CO"/>
        </w:rPr>
        <w:t>Además, se consideran los informes internacionales que han reconocido la labor de la Jurisdicción:</w:t>
      </w:r>
    </w:p>
    <w:p w14:paraId="49D940FB" w14:textId="46EBF0CB" w:rsidR="002449A6" w:rsidRPr="00F903D3" w:rsidRDefault="002449A6" w:rsidP="00DB3190">
      <w:pPr>
        <w:pStyle w:val="Prrafodelista"/>
        <w:widowControl w:val="0"/>
        <w:numPr>
          <w:ilvl w:val="0"/>
          <w:numId w:val="30"/>
        </w:numPr>
        <w:autoSpaceDE w:val="0"/>
        <w:autoSpaceDN w:val="0"/>
        <w:adjustRightInd w:val="0"/>
        <w:jc w:val="both"/>
        <w:rPr>
          <w:lang w:val="es-CO"/>
        </w:rPr>
      </w:pPr>
      <w:r w:rsidRPr="00F903D3">
        <w:rPr>
          <w:lang w:val="es-CO"/>
        </w:rPr>
        <w:t>Instituto Kroc: Segundo informe de seguimiento al enfoque de género en la implementación del Acuerdo Final de Paz en Colombia, correspondiente al periodo comprendido entre septi</w:t>
      </w:r>
      <w:r w:rsidR="001726A6" w:rsidRPr="00F903D3">
        <w:rPr>
          <w:lang w:val="es-CO"/>
        </w:rPr>
        <w:t xml:space="preserve">embre de 2018 y agosto de 2019 </w:t>
      </w:r>
      <w:r w:rsidRPr="00F903D3">
        <w:rPr>
          <w:lang w:val="es-CO"/>
        </w:rPr>
        <w:t xml:space="preserve">(publicado en diciembre 7 de 2019). </w:t>
      </w:r>
    </w:p>
    <w:p w14:paraId="17848E03" w14:textId="77777777" w:rsidR="002449A6" w:rsidRPr="00F903D3" w:rsidRDefault="002449A6" w:rsidP="00DB3190">
      <w:pPr>
        <w:widowControl w:val="0"/>
        <w:autoSpaceDE w:val="0"/>
        <w:autoSpaceDN w:val="0"/>
        <w:adjustRightInd w:val="0"/>
        <w:jc w:val="both"/>
        <w:rPr>
          <w:lang w:val="es-CO"/>
        </w:rPr>
      </w:pPr>
    </w:p>
    <w:p w14:paraId="5348D18B" w14:textId="4A75CBD6" w:rsidR="002449A6" w:rsidRPr="00F903D3" w:rsidRDefault="002449A6" w:rsidP="00DB3190">
      <w:pPr>
        <w:widowControl w:val="0"/>
        <w:autoSpaceDE w:val="0"/>
        <w:autoSpaceDN w:val="0"/>
        <w:adjustRightInd w:val="0"/>
        <w:ind w:left="1077"/>
        <w:jc w:val="both"/>
        <w:rPr>
          <w:lang w:val="es-CO"/>
        </w:rPr>
      </w:pPr>
      <w:r w:rsidRPr="00F903D3">
        <w:rPr>
          <w:lang w:val="es-CO"/>
        </w:rPr>
        <w:t xml:space="preserve">Desde el punto de vista de sus competencias jurisdiccionales, es de resaltar los avances de la Sala de Reconocimiento, de Responsabilidad y de Determinación de los Hechos y Conductas relacionados con la incorporación del enfoque de género en los criterios de </w:t>
      </w:r>
      <w:r w:rsidR="00FE093D" w:rsidRPr="00F903D3">
        <w:rPr>
          <w:lang w:val="es-CO"/>
        </w:rPr>
        <w:t>priorización</w:t>
      </w:r>
      <w:r w:rsidRPr="00F903D3">
        <w:rPr>
          <w:lang w:val="es-CO"/>
        </w:rPr>
        <w:t xml:space="preserve"> para la apertura de casos, en el protocolo para la </w:t>
      </w:r>
      <w:r w:rsidR="00FE093D" w:rsidRPr="00F903D3">
        <w:rPr>
          <w:lang w:val="es-CO"/>
        </w:rPr>
        <w:t>presentación</w:t>
      </w:r>
      <w:r w:rsidRPr="00F903D3">
        <w:rPr>
          <w:lang w:val="es-CO"/>
        </w:rPr>
        <w:t xml:space="preserve"> de informes, así como su decisión de destacar la Violencia Basada en Género y la Violencia Sexual en 4 de los 7 macro</w:t>
      </w:r>
      <w:r w:rsidR="00AE158F" w:rsidRPr="00F903D3">
        <w:rPr>
          <w:lang w:val="es-CO"/>
        </w:rPr>
        <w:t xml:space="preserve"> </w:t>
      </w:r>
      <w:r w:rsidRPr="00F903D3">
        <w:rPr>
          <w:lang w:val="es-CO"/>
        </w:rPr>
        <w:t xml:space="preserve">casos abiertos hasta la fecha. </w:t>
      </w:r>
    </w:p>
    <w:p w14:paraId="2B9BB423" w14:textId="77777777" w:rsidR="002449A6" w:rsidRPr="00F903D3" w:rsidRDefault="002449A6" w:rsidP="00DB3190">
      <w:pPr>
        <w:widowControl w:val="0"/>
        <w:autoSpaceDE w:val="0"/>
        <w:autoSpaceDN w:val="0"/>
        <w:adjustRightInd w:val="0"/>
        <w:ind w:left="1077"/>
        <w:jc w:val="both"/>
        <w:rPr>
          <w:lang w:val="es-CO"/>
        </w:rPr>
      </w:pPr>
    </w:p>
    <w:p w14:paraId="0F5A791C" w14:textId="34D3E01B" w:rsidR="002449A6" w:rsidRPr="00F903D3" w:rsidRDefault="002449A6" w:rsidP="00DB3190">
      <w:pPr>
        <w:widowControl w:val="0"/>
        <w:autoSpaceDE w:val="0"/>
        <w:autoSpaceDN w:val="0"/>
        <w:adjustRightInd w:val="0"/>
        <w:ind w:left="1077"/>
        <w:jc w:val="both"/>
        <w:rPr>
          <w:lang w:val="es-CO"/>
        </w:rPr>
      </w:pPr>
      <w:r w:rsidRPr="00F903D3">
        <w:rPr>
          <w:lang w:val="es-CO"/>
        </w:rPr>
        <w:t xml:space="preserve">Así mismo, es importante resaltar la decisión de la Sala de Amnistía e Indulto del 16 de junio de 2019, a través de la cual la entidad empieza a generar jurisprudencia y doctrina en materia de </w:t>
      </w:r>
      <w:r w:rsidR="00FE093D" w:rsidRPr="00F903D3">
        <w:rPr>
          <w:lang w:val="es-CO"/>
        </w:rPr>
        <w:t>Violencia Sexual</w:t>
      </w:r>
      <w:r w:rsidRPr="00F903D3">
        <w:rPr>
          <w:lang w:val="es-CO"/>
        </w:rPr>
        <w:t xml:space="preserve">. Adicional a lo anterior, se destacan los avances de la </w:t>
      </w:r>
      <w:r w:rsidR="00FE093D" w:rsidRPr="00F903D3">
        <w:rPr>
          <w:lang w:val="es-CO"/>
        </w:rPr>
        <w:t>UIA</w:t>
      </w:r>
      <w:r w:rsidRPr="00F903D3">
        <w:rPr>
          <w:lang w:val="es-CO"/>
        </w:rPr>
        <w:t xml:space="preserve">, en la que se creó un equipo de investigación especial, liderado por una fiscal que se encarga exclusivamente de investigar casos de </w:t>
      </w:r>
      <w:r w:rsidR="00FE093D" w:rsidRPr="00F903D3">
        <w:rPr>
          <w:lang w:val="es-CO"/>
        </w:rPr>
        <w:t xml:space="preserve">Violencia Sexual </w:t>
      </w:r>
      <w:r w:rsidRPr="00F903D3">
        <w:rPr>
          <w:lang w:val="es-CO"/>
        </w:rPr>
        <w:t>en el marco del conflicto.</w:t>
      </w:r>
    </w:p>
    <w:p w14:paraId="1CE4EB36" w14:textId="77777777" w:rsidR="002449A6" w:rsidRPr="00F903D3" w:rsidRDefault="002449A6" w:rsidP="00DB3190">
      <w:pPr>
        <w:widowControl w:val="0"/>
        <w:autoSpaceDE w:val="0"/>
        <w:autoSpaceDN w:val="0"/>
        <w:adjustRightInd w:val="0"/>
        <w:ind w:left="1077"/>
        <w:jc w:val="both"/>
        <w:rPr>
          <w:lang w:val="es-CO"/>
        </w:rPr>
      </w:pPr>
    </w:p>
    <w:p w14:paraId="15202766" w14:textId="2A51F3D2" w:rsidR="002449A6" w:rsidRPr="00F903D3" w:rsidRDefault="002449A6" w:rsidP="00DB3190">
      <w:pPr>
        <w:pStyle w:val="Prrafodelista"/>
        <w:widowControl w:val="0"/>
        <w:autoSpaceDE w:val="0"/>
        <w:autoSpaceDN w:val="0"/>
        <w:adjustRightInd w:val="0"/>
        <w:ind w:left="1077"/>
        <w:jc w:val="both"/>
        <w:rPr>
          <w:lang w:val="es-CO"/>
        </w:rPr>
      </w:pPr>
      <w:r w:rsidRPr="00F903D3">
        <w:rPr>
          <w:lang w:val="es-CO"/>
        </w:rPr>
        <w:t xml:space="preserve">Es importante resaltar el número de informes que ha recibido la JEP por parte de las organizaciones de víctimas y de mujeres. Entre ellos se destacan al menos 20 informes sobre </w:t>
      </w:r>
      <w:r w:rsidR="00FE093D" w:rsidRPr="00F903D3">
        <w:rPr>
          <w:lang w:val="es-CO"/>
        </w:rPr>
        <w:t xml:space="preserve">Violencia Sexual </w:t>
      </w:r>
      <w:r w:rsidRPr="00F903D3">
        <w:rPr>
          <w:lang w:val="es-CO"/>
        </w:rPr>
        <w:t>y un número amplio de informes que dan cuenta del impacto diferenciado del conflicto armado en las mujeres.</w:t>
      </w:r>
    </w:p>
    <w:p w14:paraId="092A6DA8" w14:textId="77777777" w:rsidR="002449A6" w:rsidRPr="00F903D3" w:rsidRDefault="002449A6" w:rsidP="00DB3190">
      <w:pPr>
        <w:pStyle w:val="Prrafodelista"/>
        <w:widowControl w:val="0"/>
        <w:autoSpaceDE w:val="0"/>
        <w:autoSpaceDN w:val="0"/>
        <w:adjustRightInd w:val="0"/>
        <w:ind w:left="1077"/>
        <w:jc w:val="both"/>
        <w:rPr>
          <w:lang w:val="es-CO"/>
        </w:rPr>
      </w:pPr>
    </w:p>
    <w:p w14:paraId="3BBD86C5" w14:textId="13C9132D" w:rsidR="002449A6" w:rsidRPr="00F903D3" w:rsidRDefault="002449A6" w:rsidP="00DB3190">
      <w:pPr>
        <w:pStyle w:val="Prrafodelista"/>
        <w:widowControl w:val="0"/>
        <w:numPr>
          <w:ilvl w:val="0"/>
          <w:numId w:val="30"/>
        </w:numPr>
        <w:autoSpaceDE w:val="0"/>
        <w:autoSpaceDN w:val="0"/>
        <w:adjustRightInd w:val="0"/>
        <w:jc w:val="both"/>
        <w:rPr>
          <w:lang w:val="es-CO"/>
        </w:rPr>
      </w:pPr>
      <w:r w:rsidRPr="00F903D3">
        <w:rPr>
          <w:lang w:val="es-CO"/>
        </w:rPr>
        <w:t>Vigésimo séptimo informe del Secretario General de la OEA al Consejo Permanente sobre la Misión de Apoyo al Proces</w:t>
      </w:r>
      <w:r w:rsidR="00FE093D" w:rsidRPr="00F903D3">
        <w:rPr>
          <w:lang w:val="es-CO"/>
        </w:rPr>
        <w:t>o de Paz en Colombia (MAPP OEA)</w:t>
      </w:r>
      <w:r w:rsidRPr="00F903D3">
        <w:rPr>
          <w:lang w:val="es-CO"/>
        </w:rPr>
        <w:t xml:space="preserve"> (publicado el 30 de octubre de 2019)</w:t>
      </w:r>
    </w:p>
    <w:p w14:paraId="70E80B01" w14:textId="77777777" w:rsidR="002449A6" w:rsidRPr="00F903D3" w:rsidRDefault="002449A6" w:rsidP="00DB3190">
      <w:pPr>
        <w:widowControl w:val="0"/>
        <w:autoSpaceDE w:val="0"/>
        <w:autoSpaceDN w:val="0"/>
        <w:adjustRightInd w:val="0"/>
        <w:jc w:val="both"/>
        <w:rPr>
          <w:lang w:val="es-CO"/>
        </w:rPr>
      </w:pPr>
    </w:p>
    <w:p w14:paraId="4C8901AF" w14:textId="6133A288" w:rsidR="002449A6" w:rsidRPr="00F903D3" w:rsidRDefault="002449A6" w:rsidP="00DB3190">
      <w:pPr>
        <w:widowControl w:val="0"/>
        <w:autoSpaceDE w:val="0"/>
        <w:autoSpaceDN w:val="0"/>
        <w:adjustRightInd w:val="0"/>
        <w:ind w:left="1077"/>
        <w:jc w:val="both"/>
        <w:rPr>
          <w:lang w:val="es-CO"/>
        </w:rPr>
      </w:pPr>
      <w:r w:rsidRPr="00F903D3">
        <w:rPr>
          <w:lang w:val="es-CO"/>
        </w:rPr>
        <w:t xml:space="preserve">El informe destaca avances significativos en la implementación del sistema de justicia transicional en cabeza de la JEP. Se valora la existencia de casos territoriales que permiten comprender los impactos diferenciados que tuvo el conflicto en distintos territorios, así como los patrones de actuación de los diversos actores. </w:t>
      </w:r>
      <w:r w:rsidR="00FE093D" w:rsidRPr="00F903D3">
        <w:rPr>
          <w:lang w:val="es-CO"/>
        </w:rPr>
        <w:t xml:space="preserve">De la misma manera, </w:t>
      </w:r>
      <w:r w:rsidRPr="00F903D3">
        <w:rPr>
          <w:lang w:val="es-CO"/>
        </w:rPr>
        <w:t xml:space="preserve">se resaltan las acciones tendientes a garantizar la incorporación de los enfoques diferenciales en todas las labores </w:t>
      </w:r>
      <w:r w:rsidRPr="00F903D3">
        <w:rPr>
          <w:lang w:val="es-CO"/>
        </w:rPr>
        <w:lastRenderedPageBreak/>
        <w:t xml:space="preserve">de la Jurisdicción con actuaciones positivas como la conformación de la Comisión étnica, </w:t>
      </w:r>
      <w:r w:rsidR="0068227F" w:rsidRPr="00F903D3">
        <w:rPr>
          <w:lang w:val="es-CO"/>
        </w:rPr>
        <w:t xml:space="preserve">la </w:t>
      </w:r>
      <w:r w:rsidRPr="00F903D3">
        <w:rPr>
          <w:lang w:val="es-CO"/>
        </w:rPr>
        <w:t>de género y</w:t>
      </w:r>
      <w:r w:rsidR="0068227F" w:rsidRPr="00F903D3">
        <w:rPr>
          <w:lang w:val="es-CO"/>
        </w:rPr>
        <w:t xml:space="preserve"> la</w:t>
      </w:r>
      <w:r w:rsidRPr="00F903D3">
        <w:rPr>
          <w:lang w:val="es-CO"/>
        </w:rPr>
        <w:t xml:space="preserve"> de participación. Se destaca la implementación de una política de incorporación de autoridades indígenas como intervinientes especiales, con algunas prerrogativas de actores procesales. </w:t>
      </w:r>
    </w:p>
    <w:p w14:paraId="41AF60E3" w14:textId="77777777" w:rsidR="00FE093D" w:rsidRPr="00F903D3" w:rsidRDefault="00FE093D" w:rsidP="00DB3190">
      <w:pPr>
        <w:widowControl w:val="0"/>
        <w:autoSpaceDE w:val="0"/>
        <w:autoSpaceDN w:val="0"/>
        <w:adjustRightInd w:val="0"/>
        <w:ind w:left="1077"/>
        <w:jc w:val="both"/>
        <w:rPr>
          <w:lang w:val="es-CO"/>
        </w:rPr>
      </w:pPr>
    </w:p>
    <w:p w14:paraId="3F128133" w14:textId="7E2F8607" w:rsidR="002449A6" w:rsidRPr="00F903D3" w:rsidRDefault="002449A6" w:rsidP="00DB3190">
      <w:pPr>
        <w:pStyle w:val="Prrafodelista"/>
        <w:widowControl w:val="0"/>
        <w:numPr>
          <w:ilvl w:val="0"/>
          <w:numId w:val="30"/>
        </w:numPr>
        <w:autoSpaceDE w:val="0"/>
        <w:autoSpaceDN w:val="0"/>
        <w:adjustRightInd w:val="0"/>
        <w:jc w:val="both"/>
        <w:rPr>
          <w:lang w:val="es-CO"/>
        </w:rPr>
      </w:pPr>
      <w:r w:rsidRPr="00F903D3">
        <w:rPr>
          <w:lang w:val="es-CO"/>
        </w:rPr>
        <w:t>Informe Trimestral del Secretario General sobre la Misión de Verificación en Colombia. S/2019/988 (publicado el 31 de diciembre 2019)</w:t>
      </w:r>
    </w:p>
    <w:p w14:paraId="43F34736" w14:textId="77777777" w:rsidR="002449A6" w:rsidRPr="00F903D3" w:rsidRDefault="002449A6" w:rsidP="00DB3190">
      <w:pPr>
        <w:widowControl w:val="0"/>
        <w:autoSpaceDE w:val="0"/>
        <w:autoSpaceDN w:val="0"/>
        <w:adjustRightInd w:val="0"/>
        <w:jc w:val="both"/>
        <w:rPr>
          <w:lang w:val="es-CO"/>
        </w:rPr>
      </w:pPr>
    </w:p>
    <w:p w14:paraId="08992DE5" w14:textId="33C9BB27" w:rsidR="002449A6" w:rsidRPr="00F903D3" w:rsidRDefault="002449A6" w:rsidP="00DB3190">
      <w:pPr>
        <w:widowControl w:val="0"/>
        <w:autoSpaceDE w:val="0"/>
        <w:autoSpaceDN w:val="0"/>
        <w:adjustRightInd w:val="0"/>
        <w:ind w:left="1077"/>
        <w:jc w:val="both"/>
        <w:rPr>
          <w:lang w:val="es-CO"/>
        </w:rPr>
      </w:pPr>
      <w:r w:rsidRPr="00F903D3">
        <w:rPr>
          <w:lang w:val="es-CO"/>
        </w:rPr>
        <w:t xml:space="preserve">El informe resalta el trabajo de la </w:t>
      </w:r>
      <w:r w:rsidR="00FE093D" w:rsidRPr="00F903D3">
        <w:rPr>
          <w:lang w:val="es-CO"/>
        </w:rPr>
        <w:t xml:space="preserve">JEP </w:t>
      </w:r>
      <w:r w:rsidRPr="00F903D3">
        <w:rPr>
          <w:lang w:val="es-CO"/>
        </w:rPr>
        <w:t>en la acreditación de más de 60.000 víctimas a diciembre de 2019, y las primeras acreditaciones colectivas de comunidades étnicas. Además, destaca que la JEP sigue examinando caso por caso las 657 solicitudes presentadas por agentes del Estado y terceras partes del conflicto para someterse voluntariamente a ella. Entretanto, sigue celebrando audiencias con antiguos agentes del Estado y terceras partes del conflicto, incluido un antiguo senador. De igual manera, se resalta el avance de la Jurisdicción en sus siete casos</w:t>
      </w:r>
      <w:r w:rsidR="00FE093D" w:rsidRPr="00F903D3">
        <w:rPr>
          <w:lang w:val="es-CO"/>
        </w:rPr>
        <w:t>.</w:t>
      </w:r>
    </w:p>
    <w:p w14:paraId="77826A41" w14:textId="77777777" w:rsidR="002449A6" w:rsidRPr="00F903D3" w:rsidRDefault="002449A6" w:rsidP="00DB3190">
      <w:pPr>
        <w:widowControl w:val="0"/>
        <w:autoSpaceDE w:val="0"/>
        <w:autoSpaceDN w:val="0"/>
        <w:adjustRightInd w:val="0"/>
        <w:jc w:val="both"/>
        <w:rPr>
          <w:lang w:val="es-CO"/>
        </w:rPr>
      </w:pPr>
    </w:p>
    <w:p w14:paraId="61332511" w14:textId="74019CFC" w:rsidR="002449A6" w:rsidRPr="00F903D3" w:rsidRDefault="002449A6" w:rsidP="00DB3190">
      <w:pPr>
        <w:pStyle w:val="Prrafodelista"/>
        <w:widowControl w:val="0"/>
        <w:numPr>
          <w:ilvl w:val="0"/>
          <w:numId w:val="30"/>
        </w:numPr>
        <w:autoSpaceDE w:val="0"/>
        <w:autoSpaceDN w:val="0"/>
        <w:adjustRightInd w:val="0"/>
        <w:jc w:val="both"/>
        <w:rPr>
          <w:lang w:val="es-CO"/>
        </w:rPr>
      </w:pPr>
      <w:r w:rsidRPr="00F903D3">
        <w:rPr>
          <w:lang w:val="es-CO"/>
        </w:rPr>
        <w:t>Corte Penal Internacional. Informe sobre las activi</w:t>
      </w:r>
      <w:r w:rsidR="00FE093D" w:rsidRPr="00F903D3">
        <w:rPr>
          <w:lang w:val="es-CO"/>
        </w:rPr>
        <w:t>dades de examen preliminar 2019</w:t>
      </w:r>
      <w:r w:rsidRPr="00F903D3">
        <w:rPr>
          <w:lang w:val="es-CO"/>
        </w:rPr>
        <w:t xml:space="preserve"> (publicado el 05 de diciembre 2019)</w:t>
      </w:r>
    </w:p>
    <w:p w14:paraId="0221D4EC" w14:textId="77777777" w:rsidR="002449A6" w:rsidRPr="00F903D3" w:rsidRDefault="002449A6" w:rsidP="00DB3190">
      <w:pPr>
        <w:widowControl w:val="0"/>
        <w:autoSpaceDE w:val="0"/>
        <w:autoSpaceDN w:val="0"/>
        <w:adjustRightInd w:val="0"/>
        <w:jc w:val="both"/>
        <w:rPr>
          <w:lang w:val="es-CO"/>
        </w:rPr>
      </w:pPr>
    </w:p>
    <w:p w14:paraId="66F209BE" w14:textId="77777777" w:rsidR="002449A6" w:rsidRPr="00F903D3" w:rsidRDefault="002449A6" w:rsidP="00DB3190">
      <w:pPr>
        <w:widowControl w:val="0"/>
        <w:autoSpaceDE w:val="0"/>
        <w:autoSpaceDN w:val="0"/>
        <w:adjustRightInd w:val="0"/>
        <w:ind w:left="1077"/>
        <w:jc w:val="both"/>
        <w:rPr>
          <w:lang w:val="es-CO"/>
        </w:rPr>
      </w:pPr>
      <w:r w:rsidRPr="00F903D3">
        <w:rPr>
          <w:lang w:val="es-CO"/>
        </w:rPr>
        <w:t>Hasta octubre de 2019, la JEP había recibido 214 informes relativos a delitos relacionados con el conflicto procedentes de organizaciones de víctimas, de miembros de la sociedad civil y de entidades estatales.</w:t>
      </w:r>
    </w:p>
    <w:p w14:paraId="6E6CBE13" w14:textId="77777777" w:rsidR="002449A6" w:rsidRPr="00F903D3" w:rsidRDefault="002449A6" w:rsidP="00DB3190">
      <w:pPr>
        <w:widowControl w:val="0"/>
        <w:autoSpaceDE w:val="0"/>
        <w:autoSpaceDN w:val="0"/>
        <w:adjustRightInd w:val="0"/>
        <w:ind w:left="1077"/>
        <w:jc w:val="both"/>
        <w:rPr>
          <w:lang w:val="es-CO"/>
        </w:rPr>
      </w:pPr>
    </w:p>
    <w:p w14:paraId="5CC4E001" w14:textId="77777777" w:rsidR="002449A6" w:rsidRPr="00F903D3" w:rsidRDefault="002449A6" w:rsidP="00DB3190">
      <w:pPr>
        <w:widowControl w:val="0"/>
        <w:autoSpaceDE w:val="0"/>
        <w:autoSpaceDN w:val="0"/>
        <w:adjustRightInd w:val="0"/>
        <w:ind w:left="1077"/>
        <w:jc w:val="both"/>
        <w:rPr>
          <w:lang w:val="es-CO"/>
        </w:rPr>
      </w:pPr>
      <w:r w:rsidRPr="00F903D3">
        <w:rPr>
          <w:lang w:val="es-CO"/>
        </w:rPr>
        <w:t>Además de los casos en el sistema de justicia ordinaria, la JEP aceptó solicitudes de ex agentes del Estado de participar en los procedimientos ante la jurisdicción por conductas relacionadas con la promoción de grupos paramilitares.</w:t>
      </w:r>
    </w:p>
    <w:p w14:paraId="07D25F02" w14:textId="77777777" w:rsidR="002449A6" w:rsidRPr="00F903D3" w:rsidRDefault="002449A6" w:rsidP="00DB3190">
      <w:pPr>
        <w:widowControl w:val="0"/>
        <w:autoSpaceDE w:val="0"/>
        <w:autoSpaceDN w:val="0"/>
        <w:adjustRightInd w:val="0"/>
        <w:ind w:left="1077"/>
        <w:jc w:val="both"/>
        <w:rPr>
          <w:lang w:val="es-CO"/>
        </w:rPr>
      </w:pPr>
    </w:p>
    <w:p w14:paraId="07F49445" w14:textId="2C937EA2" w:rsidR="002449A6" w:rsidRPr="00F903D3" w:rsidRDefault="002449A6" w:rsidP="00DB3190">
      <w:pPr>
        <w:widowControl w:val="0"/>
        <w:autoSpaceDE w:val="0"/>
        <w:autoSpaceDN w:val="0"/>
        <w:adjustRightInd w:val="0"/>
        <w:ind w:left="1077"/>
        <w:jc w:val="both"/>
        <w:rPr>
          <w:lang w:val="es-CO"/>
        </w:rPr>
      </w:pPr>
      <w:r w:rsidRPr="00F903D3">
        <w:rPr>
          <w:lang w:val="es-CO"/>
        </w:rPr>
        <w:t>La información disponible también indica que los procedimientos relacionados con desplazamientos forzosos ante la JEP han avanzado durante el período sobre el que se informa.</w:t>
      </w:r>
    </w:p>
    <w:p w14:paraId="247AD90D" w14:textId="77777777" w:rsidR="002449A6" w:rsidRPr="00F903D3" w:rsidRDefault="002449A6" w:rsidP="00DB3190">
      <w:pPr>
        <w:pStyle w:val="Prrafodelista"/>
        <w:widowControl w:val="0"/>
        <w:autoSpaceDE w:val="0"/>
        <w:autoSpaceDN w:val="0"/>
        <w:adjustRightInd w:val="0"/>
        <w:ind w:left="785"/>
        <w:jc w:val="both"/>
        <w:rPr>
          <w:b/>
          <w:color w:val="000000" w:themeColor="text1"/>
          <w:lang w:val="es-CO"/>
        </w:rPr>
      </w:pPr>
    </w:p>
    <w:p w14:paraId="509C19EE" w14:textId="2B19573F" w:rsidR="00DB3155" w:rsidRPr="00AC580A" w:rsidRDefault="00DB3155" w:rsidP="00DB3190">
      <w:pPr>
        <w:pStyle w:val="Prrafodelista"/>
        <w:widowControl w:val="0"/>
        <w:numPr>
          <w:ilvl w:val="0"/>
          <w:numId w:val="29"/>
        </w:numPr>
        <w:autoSpaceDE w:val="0"/>
        <w:autoSpaceDN w:val="0"/>
        <w:adjustRightInd w:val="0"/>
        <w:jc w:val="both"/>
        <w:rPr>
          <w:b/>
          <w:color w:val="000000" w:themeColor="text1"/>
          <w:lang w:val="es-CO"/>
        </w:rPr>
      </w:pPr>
      <w:r w:rsidRPr="00AC580A">
        <w:rPr>
          <w:b/>
          <w:color w:val="2F5496" w:themeColor="accent1" w:themeShade="BF"/>
          <w:lang w:val="es-CO"/>
        </w:rPr>
        <w:t>Quinto Objetivo</w:t>
      </w:r>
      <w:r w:rsidR="00FE093D">
        <w:rPr>
          <w:b/>
          <w:color w:val="2F5496" w:themeColor="accent1" w:themeShade="BF"/>
          <w:lang w:val="es-CO"/>
        </w:rPr>
        <w:t xml:space="preserve"> Estratégico</w:t>
      </w:r>
      <w:r w:rsidRPr="00AC580A">
        <w:rPr>
          <w:b/>
          <w:color w:val="2F5496" w:themeColor="accent1" w:themeShade="BF"/>
          <w:lang w:val="es-CO"/>
        </w:rPr>
        <w:t>:</w:t>
      </w:r>
      <w:r w:rsidRPr="00AC580A">
        <w:rPr>
          <w:b/>
          <w:color w:val="000000" w:themeColor="text1"/>
          <w:lang w:val="es-CO"/>
        </w:rPr>
        <w:t xml:space="preserve"> Consolidar el fortalecimiento institucional que garantice la eficacia y</w:t>
      </w:r>
      <w:r w:rsidR="00480C16" w:rsidRPr="00AC580A">
        <w:rPr>
          <w:b/>
          <w:color w:val="000000" w:themeColor="text1"/>
          <w:lang w:val="es-CO"/>
        </w:rPr>
        <w:t xml:space="preserve"> </w:t>
      </w:r>
      <w:r w:rsidRPr="00AC580A">
        <w:rPr>
          <w:b/>
          <w:color w:val="000000" w:themeColor="text1"/>
          <w:lang w:val="es-CO"/>
        </w:rPr>
        <w:t xml:space="preserve">la eficiencia en el cumplimiento </w:t>
      </w:r>
      <w:r w:rsidR="00316DB9" w:rsidRPr="00AC580A">
        <w:rPr>
          <w:b/>
          <w:color w:val="000000" w:themeColor="text1"/>
          <w:lang w:val="es-CO"/>
        </w:rPr>
        <w:t>de la misión de la Jurisdicción</w:t>
      </w:r>
      <w:r w:rsidR="00AC580A">
        <w:rPr>
          <w:b/>
          <w:color w:val="000000" w:themeColor="text1"/>
          <w:lang w:val="es-CO"/>
        </w:rPr>
        <w:t>.</w:t>
      </w:r>
    </w:p>
    <w:p w14:paraId="32924DF5" w14:textId="5D1DA13B" w:rsidR="00FE093D" w:rsidRDefault="00FE093D" w:rsidP="00DB3190">
      <w:pPr>
        <w:rPr>
          <w:b/>
          <w:i/>
          <w:iCs/>
          <w:color w:val="000000" w:themeColor="text1"/>
          <w:sz w:val="22"/>
          <w:szCs w:val="22"/>
          <w:lang w:val="es-CO"/>
        </w:rPr>
      </w:pPr>
    </w:p>
    <w:p w14:paraId="35158FD3" w14:textId="77777777" w:rsidR="00B17E11" w:rsidRDefault="00B17E11">
      <w:pPr>
        <w:rPr>
          <w:b/>
          <w:i/>
          <w:iCs/>
          <w:color w:val="000000" w:themeColor="text1"/>
          <w:sz w:val="22"/>
          <w:szCs w:val="22"/>
          <w:lang w:val="es-CO"/>
        </w:rPr>
      </w:pPr>
      <w:r>
        <w:rPr>
          <w:b/>
          <w:color w:val="000000" w:themeColor="text1"/>
          <w:sz w:val="22"/>
          <w:szCs w:val="22"/>
          <w:lang w:val="es-CO"/>
        </w:rPr>
        <w:br w:type="page"/>
      </w:r>
    </w:p>
    <w:p w14:paraId="551D4324" w14:textId="254A7920" w:rsidR="00316DB9" w:rsidRDefault="00316DB9" w:rsidP="00DB3190">
      <w:pPr>
        <w:pStyle w:val="Descripcin"/>
        <w:spacing w:after="0"/>
        <w:ind w:left="785"/>
        <w:jc w:val="both"/>
        <w:rPr>
          <w:lang w:val="es-CO"/>
        </w:rPr>
      </w:pPr>
      <w:r w:rsidRPr="008F2677">
        <w:rPr>
          <w:b/>
          <w:color w:val="000000" w:themeColor="text1"/>
          <w:sz w:val="22"/>
          <w:szCs w:val="22"/>
          <w:lang w:val="es-CO"/>
        </w:rPr>
        <w:lastRenderedPageBreak/>
        <w:t xml:space="preserve">Ilustración </w:t>
      </w:r>
      <w:r w:rsidRPr="00B637B0">
        <w:rPr>
          <w:b/>
          <w:color w:val="000000" w:themeColor="text1"/>
          <w:sz w:val="22"/>
          <w:szCs w:val="22"/>
        </w:rPr>
        <w:fldChar w:fldCharType="begin"/>
      </w:r>
      <w:r w:rsidRPr="008F2677">
        <w:rPr>
          <w:b/>
          <w:color w:val="000000" w:themeColor="text1"/>
          <w:sz w:val="22"/>
          <w:szCs w:val="22"/>
          <w:lang w:val="es-CO"/>
        </w:rPr>
        <w:instrText xml:space="preserve"> SEQ Ilustración \* ARABIC </w:instrText>
      </w:r>
      <w:r w:rsidRPr="00B637B0">
        <w:rPr>
          <w:b/>
          <w:color w:val="000000" w:themeColor="text1"/>
          <w:sz w:val="22"/>
          <w:szCs w:val="22"/>
        </w:rPr>
        <w:fldChar w:fldCharType="separate"/>
      </w:r>
      <w:r w:rsidR="004D0608">
        <w:rPr>
          <w:b/>
          <w:noProof/>
          <w:color w:val="000000" w:themeColor="text1"/>
          <w:sz w:val="22"/>
          <w:szCs w:val="22"/>
          <w:lang w:val="es-CO"/>
        </w:rPr>
        <w:t>3</w:t>
      </w:r>
      <w:r w:rsidRPr="00B637B0">
        <w:rPr>
          <w:b/>
          <w:color w:val="000000" w:themeColor="text1"/>
          <w:sz w:val="22"/>
          <w:szCs w:val="22"/>
        </w:rPr>
        <w:fldChar w:fldCharType="end"/>
      </w:r>
      <w:r w:rsidRPr="008F2677">
        <w:rPr>
          <w:b/>
          <w:color w:val="000000" w:themeColor="text1"/>
          <w:sz w:val="22"/>
          <w:szCs w:val="22"/>
          <w:lang w:val="es-CO"/>
        </w:rPr>
        <w:t>. Presencia de la JEP</w:t>
      </w:r>
    </w:p>
    <w:p w14:paraId="41F210B5" w14:textId="7152EE7B" w:rsidR="005626E1" w:rsidRPr="00942B99" w:rsidRDefault="00316DB9" w:rsidP="00DB3190">
      <w:pPr>
        <w:pStyle w:val="Prrafodelista"/>
        <w:ind w:left="785"/>
        <w:jc w:val="both"/>
        <w:rPr>
          <w:lang w:val="es-CO"/>
        </w:rPr>
      </w:pPr>
      <w:r w:rsidRPr="00942B99">
        <w:rPr>
          <w:noProof/>
          <w:lang w:val="es-CO" w:eastAsia="es-CO"/>
        </w:rPr>
        <w:drawing>
          <wp:anchor distT="0" distB="0" distL="114300" distR="114300" simplePos="0" relativeHeight="251664384" behindDoc="0" locked="0" layoutInCell="1" allowOverlap="1" wp14:anchorId="1E71628E" wp14:editId="2E697E61">
            <wp:simplePos x="0" y="0"/>
            <wp:positionH relativeFrom="column">
              <wp:posOffset>-168910</wp:posOffset>
            </wp:positionH>
            <wp:positionV relativeFrom="paragraph">
              <wp:posOffset>207</wp:posOffset>
            </wp:positionV>
            <wp:extent cx="3367059" cy="4320000"/>
            <wp:effectExtent l="0" t="0" r="5080" b="4445"/>
            <wp:wrapSquare wrapText="bothSides"/>
            <wp:docPr id="13" name="Imagen 12">
              <a:extLst xmlns:a="http://schemas.openxmlformats.org/drawingml/2006/main">
                <a:ext uri="{FF2B5EF4-FFF2-40B4-BE49-F238E27FC236}">
                  <a16:creationId xmlns:a16="http://schemas.microsoft.com/office/drawing/2014/main" id="{70F518D6-EA0C-4A29-B50F-38306E1F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0F518D6-EA0C-4A29-B50F-38306E1F0A6C}"/>
                        </a:ext>
                      </a:extLst>
                    </pic:cNvPr>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784" t="4233" r="4647" b="5804"/>
                    <a:stretch/>
                  </pic:blipFill>
                  <pic:spPr bwMode="auto">
                    <a:xfrm>
                      <a:off x="0" y="0"/>
                      <a:ext cx="3367059" cy="43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27F" w:rsidRPr="00942B99">
        <w:rPr>
          <w:lang w:val="es-CO"/>
        </w:rPr>
        <w:t>E</w:t>
      </w:r>
      <w:r w:rsidR="007105B9" w:rsidRPr="00942B99">
        <w:rPr>
          <w:lang w:val="es-CO"/>
        </w:rPr>
        <w:t>ste objetivo estratégico engloba el apalancamiento transversal que requiera la Jurisdicción para su óptimo desarrollo</w:t>
      </w:r>
      <w:r w:rsidR="00BF3AE7" w:rsidRPr="00942B99">
        <w:rPr>
          <w:lang w:val="es-CO"/>
        </w:rPr>
        <w:t xml:space="preserve"> en materia de tecnologías de la información y soportes </w:t>
      </w:r>
      <w:r w:rsidR="0068227F" w:rsidRPr="00942B99">
        <w:rPr>
          <w:lang w:val="es-CO"/>
        </w:rPr>
        <w:t xml:space="preserve">estratégicos y administrativos para la gestión </w:t>
      </w:r>
      <w:r w:rsidR="00205785" w:rsidRPr="00942B99">
        <w:rPr>
          <w:lang w:val="es-CO"/>
        </w:rPr>
        <w:t>institucional</w:t>
      </w:r>
      <w:r w:rsidR="000737DA">
        <w:rPr>
          <w:lang w:val="es-CO"/>
        </w:rPr>
        <w:t xml:space="preserve"> </w:t>
      </w:r>
      <w:r w:rsidR="0068227F" w:rsidRPr="00942B99">
        <w:rPr>
          <w:lang w:val="es-CO"/>
        </w:rPr>
        <w:t>En ello se destaca la adopción del Plan de tecnologías de la información; que debe avanzar en su implementación; la aprobación del mapa de procesos integrado con 21 procesos, distribuidos así: cinco (5) procesos misionales; cuatro (4) procesos de relacionamiento con grupos de interés y la sociedad en general; en la línea de gestión once (11) procesos estratégicos y de apoyo, y uno (1) de evaluación y control; con 117 procedimientos identificados.</w:t>
      </w:r>
    </w:p>
    <w:p w14:paraId="0D98225D" w14:textId="3CE0658C" w:rsidR="000B7E9C" w:rsidRDefault="000B7E9C" w:rsidP="00DB3190">
      <w:pPr>
        <w:pStyle w:val="Prrafodelista"/>
        <w:ind w:left="785"/>
        <w:jc w:val="both"/>
        <w:rPr>
          <w:sz w:val="22"/>
          <w:lang w:val="es-CO"/>
        </w:rPr>
      </w:pPr>
    </w:p>
    <w:p w14:paraId="5321CD8A" w14:textId="07A47478" w:rsidR="005626E1" w:rsidRPr="00942B99" w:rsidRDefault="00942B99" w:rsidP="00DB3190">
      <w:pPr>
        <w:pStyle w:val="Prrafodelista"/>
        <w:ind w:left="785"/>
        <w:jc w:val="both"/>
        <w:rPr>
          <w:lang w:val="es-CO"/>
        </w:rPr>
      </w:pPr>
      <w:r w:rsidRPr="00942B99">
        <w:rPr>
          <w:rFonts w:eastAsiaTheme="majorEastAsia" w:cstheme="majorBidi"/>
          <w:noProof/>
          <w:color w:val="2F5496" w:themeColor="accent1" w:themeShade="BF"/>
          <w:lang w:val="es-CO" w:eastAsia="es-CO"/>
        </w:rPr>
        <mc:AlternateContent>
          <mc:Choice Requires="wps">
            <w:drawing>
              <wp:anchor distT="0" distB="0" distL="114300" distR="114300" simplePos="0" relativeHeight="251665408" behindDoc="0" locked="0" layoutInCell="1" allowOverlap="1" wp14:anchorId="40BAE26D" wp14:editId="09AAD2FC">
                <wp:simplePos x="0" y="0"/>
                <wp:positionH relativeFrom="margin">
                  <wp:posOffset>76200</wp:posOffset>
                </wp:positionH>
                <wp:positionV relativeFrom="paragraph">
                  <wp:posOffset>19685</wp:posOffset>
                </wp:positionV>
                <wp:extent cx="3181350" cy="323850"/>
                <wp:effectExtent l="0" t="0" r="19050" b="19050"/>
                <wp:wrapSquare wrapText="bothSides"/>
                <wp:docPr id="7" name="Cuadro de texto 7"/>
                <wp:cNvGraphicFramePr/>
                <a:graphic xmlns:a="http://schemas.openxmlformats.org/drawingml/2006/main">
                  <a:graphicData uri="http://schemas.microsoft.com/office/word/2010/wordprocessingShape">
                    <wps:wsp>
                      <wps:cNvSpPr txBox="1"/>
                      <wps:spPr>
                        <a:xfrm>
                          <a:off x="0" y="0"/>
                          <a:ext cx="31813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2EF8E9" w14:textId="784F9362" w:rsidR="0059013B" w:rsidRPr="008F2677" w:rsidRDefault="0059013B" w:rsidP="00316DB9">
                            <w:pPr>
                              <w:pStyle w:val="textocorrido"/>
                              <w:spacing w:before="0"/>
                              <w:jc w:val="both"/>
                              <w:rPr>
                                <w:sz w:val="14"/>
                                <w:szCs w:val="14"/>
                                <w:lang w:val="es-CO"/>
                              </w:rPr>
                            </w:pPr>
                            <w:r w:rsidRPr="008F2677">
                              <w:rPr>
                                <w:sz w:val="14"/>
                                <w:szCs w:val="14"/>
                                <w:lang w:val="es-CO"/>
                              </w:rPr>
                              <w:t>Elaboración: JEP</w:t>
                            </w:r>
                            <w:r>
                              <w:rPr>
                                <w:sz w:val="14"/>
                                <w:szCs w:val="14"/>
                                <w:lang w:val="es-CO"/>
                              </w:rPr>
                              <w:t xml:space="preserve"> - Secretaría Ejecutiva - </w:t>
                            </w:r>
                            <w:r w:rsidRPr="008F2677">
                              <w:rPr>
                                <w:sz w:val="14"/>
                                <w:szCs w:val="14"/>
                                <w:lang w:val="es-CO"/>
                              </w:rPr>
                              <w:t>Subdirección de Planeación (2020)</w:t>
                            </w:r>
                            <w:r>
                              <w:rPr>
                                <w:sz w:val="14"/>
                                <w:szCs w:val="14"/>
                                <w:lang w:val="es-CO"/>
                              </w:rPr>
                              <w:t xml:space="preserve">. </w:t>
                            </w:r>
                            <w:r w:rsidRPr="008F2677">
                              <w:rPr>
                                <w:sz w:val="14"/>
                                <w:szCs w:val="14"/>
                                <w:lang w:val="es-CO"/>
                              </w:rPr>
                              <w:t>Fecha de corte 11 de marzo, actualización: 20 de marzo de 2020</w:t>
                            </w:r>
                          </w:p>
                          <w:p w14:paraId="170FD2F8" w14:textId="77777777" w:rsidR="0059013B" w:rsidRPr="0020770A" w:rsidRDefault="0059013B" w:rsidP="00316DB9">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E26D" id="Cuadro de texto 7" o:spid="_x0000_s1027" type="#_x0000_t202" style="position:absolute;left:0;text-align:left;margin-left:6pt;margin-top:1.55pt;width:250.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" fillcolor="white [3201]" strokecolor="white [3212]" strokeweight=".5pt">
                <v:textbox>
                  <w:txbxContent>
                    <w:p w14:paraId="1A2EF8E9" w14:textId="784F9362" w:rsidR="0059013B" w:rsidRPr="008F2677" w:rsidRDefault="0059013B" w:rsidP="00316DB9">
                      <w:pPr>
                        <w:pStyle w:val="textocorrido"/>
                        <w:spacing w:before="0"/>
                        <w:jc w:val="both"/>
                        <w:rPr>
                          <w:sz w:val="14"/>
                          <w:szCs w:val="14"/>
                          <w:lang w:val="es-CO"/>
                        </w:rPr>
                      </w:pPr>
                      <w:r w:rsidRPr="008F2677">
                        <w:rPr>
                          <w:sz w:val="14"/>
                          <w:szCs w:val="14"/>
                          <w:lang w:val="es-CO"/>
                        </w:rPr>
                        <w:t>Elaboración: JEP</w:t>
                      </w:r>
                      <w:r>
                        <w:rPr>
                          <w:sz w:val="14"/>
                          <w:szCs w:val="14"/>
                          <w:lang w:val="es-CO"/>
                        </w:rPr>
                        <w:t xml:space="preserve"> - Secretaría Ejecutiva - </w:t>
                      </w:r>
                      <w:r w:rsidRPr="008F2677">
                        <w:rPr>
                          <w:sz w:val="14"/>
                          <w:szCs w:val="14"/>
                          <w:lang w:val="es-CO"/>
                        </w:rPr>
                        <w:t>Subdirección de Planeación (2020)</w:t>
                      </w:r>
                      <w:r>
                        <w:rPr>
                          <w:sz w:val="14"/>
                          <w:szCs w:val="14"/>
                          <w:lang w:val="es-CO"/>
                        </w:rPr>
                        <w:t xml:space="preserve">. </w:t>
                      </w:r>
                      <w:r w:rsidRPr="008F2677">
                        <w:rPr>
                          <w:sz w:val="14"/>
                          <w:szCs w:val="14"/>
                          <w:lang w:val="es-CO"/>
                        </w:rPr>
                        <w:t>Fecha de corte 11 de marzo, actualización: 20 de marzo de 2020</w:t>
                      </w:r>
                    </w:p>
                    <w:p w14:paraId="170FD2F8" w14:textId="77777777" w:rsidR="0059013B" w:rsidRPr="0020770A" w:rsidRDefault="0059013B" w:rsidP="00316DB9">
                      <w:pPr>
                        <w:rPr>
                          <w:lang w:val="es-CO"/>
                        </w:rPr>
                      </w:pPr>
                    </w:p>
                  </w:txbxContent>
                </v:textbox>
                <w10:wrap type="square" anchorx="margin"/>
              </v:shape>
            </w:pict>
          </mc:Fallback>
        </mc:AlternateContent>
      </w:r>
      <w:r w:rsidR="0068227F" w:rsidRPr="00942B99">
        <w:rPr>
          <w:lang w:val="es-CO"/>
        </w:rPr>
        <w:t xml:space="preserve">Así mismo, se cuenta con la plataforma estratégica institucional y se avanza en la formulación del Plan estratégico cuatrienal que integra iniciativas estratégicas </w:t>
      </w:r>
      <w:r w:rsidR="00205785" w:rsidRPr="00942B99">
        <w:rPr>
          <w:lang w:val="es-CO"/>
        </w:rPr>
        <w:t xml:space="preserve">y líneas de acción hasta 2022; y se conformó el </w:t>
      </w:r>
      <w:r w:rsidR="00F903D3" w:rsidRPr="00942B99">
        <w:rPr>
          <w:lang w:val="es-CO"/>
        </w:rPr>
        <w:t xml:space="preserve">Comité de Gestión para </w:t>
      </w:r>
      <w:r w:rsidR="00205785" w:rsidRPr="00942B99">
        <w:rPr>
          <w:lang w:val="es-CO"/>
        </w:rPr>
        <w:t>la Administración de Justicia de la JEP, instancia en que se ha avanzado con el diseño preliminar del modelo de gestión de la entidad y el mapa de instrumentos de planeación y gestión.</w:t>
      </w:r>
    </w:p>
    <w:p w14:paraId="206B1234" w14:textId="77777777" w:rsidR="000B7E9C" w:rsidRPr="00942B99" w:rsidRDefault="000B7E9C" w:rsidP="00DB3190">
      <w:pPr>
        <w:pStyle w:val="Prrafodelista"/>
        <w:ind w:left="785"/>
        <w:jc w:val="both"/>
        <w:rPr>
          <w:lang w:val="es-CO"/>
        </w:rPr>
      </w:pPr>
    </w:p>
    <w:p w14:paraId="5EA5AE1E" w14:textId="44CE2F3C" w:rsidR="00316DB9" w:rsidRPr="00942B99" w:rsidRDefault="00205785" w:rsidP="00DB3190">
      <w:pPr>
        <w:ind w:left="720"/>
        <w:jc w:val="both"/>
        <w:rPr>
          <w:lang w:val="es-ES"/>
        </w:rPr>
      </w:pPr>
      <w:r w:rsidRPr="00942B99">
        <w:rPr>
          <w:lang w:val="es-CO"/>
        </w:rPr>
        <w:t>Este objetivo también</w:t>
      </w:r>
      <w:r w:rsidR="005626E1" w:rsidRPr="00942B99">
        <w:rPr>
          <w:lang w:val="es-CO"/>
        </w:rPr>
        <w:t xml:space="preserve"> </w:t>
      </w:r>
      <w:r w:rsidR="00FE093D" w:rsidRPr="00942B99">
        <w:rPr>
          <w:lang w:val="es-CO"/>
        </w:rPr>
        <w:t>incluye</w:t>
      </w:r>
      <w:r w:rsidR="005626E1" w:rsidRPr="00942B99">
        <w:rPr>
          <w:lang w:val="es-CO"/>
        </w:rPr>
        <w:t xml:space="preserve"> lo correspondiente a los espacios de trabajo. </w:t>
      </w:r>
      <w:r w:rsidR="00316DB9" w:rsidRPr="00942B99">
        <w:rPr>
          <w:lang w:val="es-CO"/>
        </w:rPr>
        <w:t xml:space="preserve">La JEP cubre el territorio nacional desde la </w:t>
      </w:r>
      <w:r w:rsidR="00316DB9" w:rsidRPr="00942B99">
        <w:rPr>
          <w:lang w:val="es-ES"/>
        </w:rPr>
        <w:t xml:space="preserve">sede en Bogotá y con 23 equipos territoriales en 26 ciudades o municipios; de los cuales, 10 de los equipos cuentan con presencia permanente de la UIA (grupos territoriales). Para 2021, se prevé la ampliación de la cobertura territorial con 5 nuevos equipos territoriales. </w:t>
      </w:r>
    </w:p>
    <w:p w14:paraId="0F1B1EE7" w14:textId="1E7D476E" w:rsidR="00942B99" w:rsidRDefault="00942B99" w:rsidP="00DB3190">
      <w:pPr>
        <w:rPr>
          <w:rFonts w:eastAsiaTheme="majorEastAsia" w:cstheme="majorBidi"/>
          <w:color w:val="2F5496" w:themeColor="accent1" w:themeShade="BF"/>
          <w:lang w:val="es-CO"/>
        </w:rPr>
      </w:pPr>
    </w:p>
    <w:p w14:paraId="5A76B1C9" w14:textId="1457F756" w:rsidR="005F0DFC" w:rsidRPr="00B17E11" w:rsidRDefault="005F0DFC" w:rsidP="00DB3190">
      <w:pPr>
        <w:pStyle w:val="Ttulo1"/>
        <w:numPr>
          <w:ilvl w:val="0"/>
          <w:numId w:val="4"/>
        </w:numPr>
        <w:spacing w:before="0"/>
        <w:jc w:val="both"/>
        <w:rPr>
          <w:rFonts w:ascii="Palatino Linotype" w:hAnsi="Palatino Linotype"/>
          <w:b/>
          <w:sz w:val="24"/>
          <w:szCs w:val="24"/>
          <w:lang w:val="es-CO"/>
        </w:rPr>
      </w:pPr>
      <w:bookmarkStart w:id="9" w:name="_Toc36031112"/>
      <w:r w:rsidRPr="00B17E11">
        <w:rPr>
          <w:rFonts w:ascii="Palatino Linotype" w:hAnsi="Palatino Linotype"/>
          <w:b/>
          <w:sz w:val="24"/>
          <w:szCs w:val="24"/>
          <w:lang w:val="es-CO"/>
        </w:rPr>
        <w:t>ANÁLISIS DE PROSPECTIVA CON VISIÓN A 2033</w:t>
      </w:r>
      <w:bookmarkEnd w:id="9"/>
    </w:p>
    <w:p w14:paraId="11F03660" w14:textId="77777777" w:rsidR="004D0608" w:rsidRPr="00EE2272" w:rsidRDefault="004D0608" w:rsidP="00DB3190">
      <w:pPr>
        <w:jc w:val="both"/>
        <w:rPr>
          <w:sz w:val="22"/>
          <w:lang w:val="es-ES"/>
        </w:rPr>
      </w:pPr>
    </w:p>
    <w:p w14:paraId="25245DCD" w14:textId="631FEEE1" w:rsidR="004D0608" w:rsidRPr="00942B99" w:rsidRDefault="004D0608" w:rsidP="00DB3190">
      <w:pPr>
        <w:jc w:val="both"/>
        <w:rPr>
          <w:rFonts w:cs="Arial"/>
          <w:lang w:val="es-ES"/>
        </w:rPr>
      </w:pPr>
      <w:r w:rsidRPr="00942B99">
        <w:rPr>
          <w:rFonts w:cs="Arial"/>
          <w:lang w:val="es-ES"/>
        </w:rPr>
        <w:t xml:space="preserve">Es un desafío particular para el Estado </w:t>
      </w:r>
      <w:r w:rsidR="000737DA">
        <w:rPr>
          <w:rFonts w:cs="Arial"/>
          <w:lang w:val="es-ES"/>
        </w:rPr>
        <w:t>c</w:t>
      </w:r>
      <w:r w:rsidRPr="00942B99">
        <w:rPr>
          <w:rFonts w:cs="Arial"/>
          <w:lang w:val="es-ES"/>
        </w:rPr>
        <w:t>olombiano y la JEP atender presupuestalmente el hoy, mitigando impactos en el futuro, ya que</w:t>
      </w:r>
      <w:r w:rsidR="000737DA">
        <w:rPr>
          <w:rFonts w:cs="Arial"/>
          <w:lang w:val="es-ES"/>
        </w:rPr>
        <w:t xml:space="preserve"> </w:t>
      </w:r>
      <w:r w:rsidRPr="00942B99">
        <w:rPr>
          <w:rFonts w:cs="Arial"/>
          <w:lang w:val="es-ES"/>
        </w:rPr>
        <w:t>el Acuerdo de Paz, el Acto Legislativo No. 01 de 201</w:t>
      </w:r>
      <w:r w:rsidR="00FE093D" w:rsidRPr="00942B99">
        <w:rPr>
          <w:rFonts w:cs="Arial"/>
          <w:lang w:val="es-ES"/>
        </w:rPr>
        <w:t xml:space="preserve">7 y la misma Ley Estatutaria </w:t>
      </w:r>
      <w:r w:rsidRPr="00942B99">
        <w:rPr>
          <w:rFonts w:cs="Arial"/>
          <w:lang w:val="es-ES"/>
        </w:rPr>
        <w:t>1957 de 2019, trazaron un horizonte inicial hasta el 2033 con posibilidad de ampliación de cinco años más (hasta 2038), característica que necesariamente</w:t>
      </w:r>
      <w:r w:rsidR="000737DA">
        <w:rPr>
          <w:rFonts w:cs="Arial"/>
          <w:lang w:val="es-ES"/>
        </w:rPr>
        <w:t xml:space="preserve"> </w:t>
      </w:r>
      <w:r w:rsidRPr="00942B99">
        <w:rPr>
          <w:rFonts w:cs="Arial"/>
          <w:lang w:val="es-ES"/>
        </w:rPr>
        <w:t>amerita análisis en el corto,</w:t>
      </w:r>
      <w:r w:rsidR="00131CDD" w:rsidRPr="00942B99">
        <w:rPr>
          <w:rFonts w:cs="Arial"/>
          <w:lang w:val="es-ES"/>
        </w:rPr>
        <w:t xml:space="preserve"> mediano y largo plazo para la J</w:t>
      </w:r>
      <w:r w:rsidRPr="00942B99">
        <w:rPr>
          <w:rFonts w:cs="Arial"/>
          <w:lang w:val="es-ES"/>
        </w:rPr>
        <w:t xml:space="preserve">urisdicción. </w:t>
      </w:r>
    </w:p>
    <w:p w14:paraId="6DA9ACA4" w14:textId="77777777" w:rsidR="000B7E9C" w:rsidRPr="00942B99" w:rsidRDefault="000B7E9C" w:rsidP="00DB3190">
      <w:pPr>
        <w:jc w:val="both"/>
        <w:rPr>
          <w:rFonts w:cs="Arial"/>
          <w:b/>
          <w:lang w:val="es-CO"/>
        </w:rPr>
      </w:pPr>
    </w:p>
    <w:p w14:paraId="523A1280" w14:textId="5D55CAB2" w:rsidR="004D0608" w:rsidRPr="00942B99" w:rsidRDefault="00131CDD" w:rsidP="00DB3190">
      <w:pPr>
        <w:jc w:val="both"/>
        <w:rPr>
          <w:rFonts w:cs="Arial"/>
          <w:lang w:val="es-ES"/>
        </w:rPr>
      </w:pPr>
      <w:r w:rsidRPr="00942B99">
        <w:rPr>
          <w:rFonts w:cs="Arial"/>
          <w:lang w:val="es-ES"/>
        </w:rPr>
        <w:lastRenderedPageBreak/>
        <w:t>Dicho horizonte</w:t>
      </w:r>
      <w:r w:rsidR="004D0608" w:rsidRPr="00942B99">
        <w:rPr>
          <w:rFonts w:cs="Arial"/>
          <w:lang w:val="es-ES"/>
        </w:rPr>
        <w:t xml:space="preserve">, también hace “especial” a la </w:t>
      </w:r>
      <w:r w:rsidR="00205785" w:rsidRPr="00942B99">
        <w:rPr>
          <w:rFonts w:cs="Arial"/>
          <w:lang w:val="es-ES"/>
        </w:rPr>
        <w:t>e</w:t>
      </w:r>
      <w:r w:rsidR="004D0608" w:rsidRPr="00942B99">
        <w:rPr>
          <w:rFonts w:cs="Arial"/>
          <w:lang w:val="es-ES"/>
        </w:rPr>
        <w:t>ntidad, ya que desde su inicio en 2018 se marca un ciclo de vida.</w:t>
      </w:r>
      <w:r w:rsidR="00205785" w:rsidRPr="00942B99">
        <w:rPr>
          <w:rFonts w:cs="Arial"/>
          <w:lang w:val="es-ES"/>
        </w:rPr>
        <w:t xml:space="preserve"> E</w:t>
      </w:r>
      <w:r w:rsidR="004D0608" w:rsidRPr="00942B99">
        <w:rPr>
          <w:rFonts w:cs="Arial"/>
          <w:lang w:val="es-ES"/>
        </w:rPr>
        <w:t xml:space="preserve">n ese tiempo </w:t>
      </w:r>
      <w:r w:rsidR="00205785" w:rsidRPr="00942B99">
        <w:rPr>
          <w:rFonts w:cs="Arial"/>
          <w:lang w:val="es-ES"/>
        </w:rPr>
        <w:t>se podrán</w:t>
      </w:r>
      <w:r w:rsidR="004D0608" w:rsidRPr="00942B99">
        <w:rPr>
          <w:rFonts w:cs="Arial"/>
          <w:lang w:val="es-ES"/>
        </w:rPr>
        <w:t xml:space="preserve"> diseñar e implementar entre cuatro y cinco planes estratégicos cuatrienales </w:t>
      </w:r>
      <w:r w:rsidR="000737DA">
        <w:rPr>
          <w:rFonts w:cs="Arial"/>
          <w:lang w:val="es-ES"/>
        </w:rPr>
        <w:t>(</w:t>
      </w:r>
      <w:r w:rsidR="004D0608" w:rsidRPr="00942B99">
        <w:rPr>
          <w:rFonts w:cs="Arial"/>
          <w:lang w:val="es-ES"/>
        </w:rPr>
        <w:t>PEC</w:t>
      </w:r>
      <w:r w:rsidR="000737DA">
        <w:rPr>
          <w:rFonts w:cs="Arial"/>
          <w:lang w:val="es-ES"/>
        </w:rPr>
        <w:t>)</w:t>
      </w:r>
      <w:r w:rsidR="004D0608" w:rsidRPr="00942B99">
        <w:rPr>
          <w:rFonts w:cs="Arial"/>
          <w:lang w:val="es-ES"/>
        </w:rPr>
        <w:t>, que sin duda deben estar armonizados y apalancados con los siguientes cuatro o cinco planes nacionales de desarrollo</w:t>
      </w:r>
      <w:r w:rsidR="00205785" w:rsidRPr="00942B99">
        <w:rPr>
          <w:rFonts w:cs="Arial"/>
          <w:lang w:val="es-ES"/>
        </w:rPr>
        <w:t xml:space="preserve"> </w:t>
      </w:r>
      <w:r w:rsidR="000737DA">
        <w:rPr>
          <w:rFonts w:cs="Arial"/>
          <w:lang w:val="es-ES"/>
        </w:rPr>
        <w:t>(</w:t>
      </w:r>
      <w:r w:rsidR="004D0608" w:rsidRPr="00942B99">
        <w:rPr>
          <w:rFonts w:cs="Arial"/>
          <w:lang w:val="es-ES"/>
        </w:rPr>
        <w:t>PND</w:t>
      </w:r>
      <w:r w:rsidR="000737DA">
        <w:rPr>
          <w:rFonts w:cs="Arial"/>
          <w:lang w:val="es-ES"/>
        </w:rPr>
        <w:t>)</w:t>
      </w:r>
      <w:r w:rsidR="004D0608" w:rsidRPr="00942B99">
        <w:rPr>
          <w:rFonts w:cs="Arial"/>
          <w:lang w:val="es-ES"/>
        </w:rPr>
        <w:t xml:space="preserve"> </w:t>
      </w:r>
      <w:r w:rsidR="00205785" w:rsidRPr="00942B99">
        <w:rPr>
          <w:rFonts w:cs="Arial"/>
          <w:lang w:val="es-ES"/>
        </w:rPr>
        <w:t>y sus planes plurianuales de inversión</w:t>
      </w:r>
      <w:r w:rsidR="004D0608" w:rsidRPr="00942B99">
        <w:rPr>
          <w:rFonts w:cs="Arial"/>
          <w:lang w:val="es-ES"/>
        </w:rPr>
        <w:t xml:space="preserve">. </w:t>
      </w:r>
    </w:p>
    <w:p w14:paraId="4F875CA8" w14:textId="77777777" w:rsidR="00131CDD" w:rsidRPr="00942B99" w:rsidRDefault="00131CDD" w:rsidP="00DB3190">
      <w:pPr>
        <w:jc w:val="both"/>
        <w:rPr>
          <w:rFonts w:cs="Arial"/>
          <w:lang w:val="es-ES"/>
        </w:rPr>
      </w:pPr>
    </w:p>
    <w:p w14:paraId="12C6712E" w14:textId="382DED99" w:rsidR="004D0608" w:rsidRPr="00942B99" w:rsidRDefault="00205785" w:rsidP="00DB3190">
      <w:pPr>
        <w:jc w:val="both"/>
        <w:rPr>
          <w:rFonts w:cs="Arial"/>
          <w:lang w:val="es-ES"/>
        </w:rPr>
      </w:pPr>
      <w:r w:rsidRPr="00942B99">
        <w:rPr>
          <w:rFonts w:cs="Arial"/>
          <w:lang w:val="es-ES"/>
        </w:rPr>
        <w:t>Considerando este panorama</w:t>
      </w:r>
      <w:r w:rsidR="004D0608" w:rsidRPr="00942B99">
        <w:rPr>
          <w:rFonts w:cs="Arial"/>
          <w:lang w:val="es-ES"/>
        </w:rPr>
        <w:t xml:space="preserve">, si </w:t>
      </w:r>
      <w:r w:rsidRPr="00942B99">
        <w:rPr>
          <w:rFonts w:cs="Arial"/>
          <w:lang w:val="es-ES"/>
        </w:rPr>
        <w:t>se analiza</w:t>
      </w:r>
      <w:r w:rsidR="004D0608" w:rsidRPr="00942B99">
        <w:rPr>
          <w:rFonts w:cs="Arial"/>
          <w:lang w:val="es-ES"/>
        </w:rPr>
        <w:t xml:space="preserve"> una distribución “normal” de los hechos del conflicto que serán sometidos a investigación, juzgamiento y sanción, </w:t>
      </w:r>
      <w:r w:rsidRPr="00942B99">
        <w:rPr>
          <w:rFonts w:cs="Arial"/>
          <w:lang w:val="es-ES"/>
        </w:rPr>
        <w:t>se puede</w:t>
      </w:r>
      <w:r w:rsidR="004D0608" w:rsidRPr="00942B99">
        <w:rPr>
          <w:rFonts w:cs="Arial"/>
          <w:lang w:val="es-ES"/>
        </w:rPr>
        <w:t xml:space="preserve"> visualizar cuatro momentos: a)</w:t>
      </w:r>
      <w:r w:rsidR="00131CDD" w:rsidRPr="00942B99">
        <w:rPr>
          <w:rFonts w:cs="Arial"/>
          <w:lang w:val="es-ES"/>
        </w:rPr>
        <w:t xml:space="preserve"> </w:t>
      </w:r>
      <w:r w:rsidR="004D0608" w:rsidRPr="00942B99">
        <w:rPr>
          <w:rFonts w:cs="Arial"/>
          <w:lang w:val="es-ES"/>
        </w:rPr>
        <w:t>nacimiento</w:t>
      </w:r>
      <w:r w:rsidRPr="00942B99">
        <w:rPr>
          <w:rFonts w:cs="Arial"/>
          <w:lang w:val="es-ES"/>
        </w:rPr>
        <w:t xml:space="preserve"> de la entidad </w:t>
      </w:r>
      <w:r w:rsidR="004D0608" w:rsidRPr="00942B99">
        <w:rPr>
          <w:rFonts w:cs="Arial"/>
          <w:lang w:val="es-ES"/>
        </w:rPr>
        <w:t>(antes de 2018), b)</w:t>
      </w:r>
      <w:r w:rsidR="00131CDD" w:rsidRPr="00942B99">
        <w:rPr>
          <w:rFonts w:cs="Arial"/>
          <w:lang w:val="es-ES"/>
        </w:rPr>
        <w:t xml:space="preserve"> </w:t>
      </w:r>
      <w:r w:rsidR="004D0608" w:rsidRPr="00942B99">
        <w:rPr>
          <w:rFonts w:cs="Arial"/>
          <w:lang w:val="es-ES"/>
        </w:rPr>
        <w:t xml:space="preserve">inicio de operación </w:t>
      </w:r>
      <w:r w:rsidRPr="00942B99">
        <w:rPr>
          <w:rFonts w:cs="Arial"/>
          <w:lang w:val="es-ES"/>
        </w:rPr>
        <w:t xml:space="preserve">y </w:t>
      </w:r>
      <w:r w:rsidR="004D0608" w:rsidRPr="00942B99">
        <w:rPr>
          <w:rFonts w:cs="Arial"/>
          <w:lang w:val="es-ES"/>
        </w:rPr>
        <w:t>desarrollo de capacidades (cuatrienio 2019-2022), c)</w:t>
      </w:r>
      <w:r w:rsidR="00131CDD" w:rsidRPr="00942B99">
        <w:rPr>
          <w:rFonts w:cs="Arial"/>
          <w:lang w:val="es-ES"/>
        </w:rPr>
        <w:t xml:space="preserve"> </w:t>
      </w:r>
      <w:r w:rsidR="004D0608" w:rsidRPr="00942B99">
        <w:rPr>
          <w:rFonts w:cs="Arial"/>
          <w:lang w:val="es-ES"/>
        </w:rPr>
        <w:t>consolidación de la actividad judicial (2022-2030) y d)</w:t>
      </w:r>
      <w:r w:rsidR="00131CDD" w:rsidRPr="00942B99">
        <w:rPr>
          <w:rFonts w:cs="Arial"/>
          <w:lang w:val="es-ES"/>
        </w:rPr>
        <w:t xml:space="preserve"> </w:t>
      </w:r>
      <w:r w:rsidR="004D0608" w:rsidRPr="00942B99">
        <w:rPr>
          <w:rFonts w:cs="Arial"/>
          <w:lang w:val="es-ES"/>
        </w:rPr>
        <w:t>alistamiento para finalizar operación-normal o acelera</w:t>
      </w:r>
      <w:r w:rsidRPr="00942B99">
        <w:rPr>
          <w:rFonts w:cs="Arial"/>
          <w:lang w:val="es-ES"/>
        </w:rPr>
        <w:t>ción en caso</w:t>
      </w:r>
      <w:r w:rsidR="004D0608" w:rsidRPr="00942B99">
        <w:rPr>
          <w:rFonts w:cs="Arial"/>
          <w:lang w:val="es-ES"/>
        </w:rPr>
        <w:t xml:space="preserve"> de existir rezagos (brechas) en etapas previas que a</w:t>
      </w:r>
      <w:r w:rsidRPr="00942B99">
        <w:rPr>
          <w:rFonts w:cs="Arial"/>
          <w:lang w:val="es-ES"/>
        </w:rPr>
        <w:t>cumulen</w:t>
      </w:r>
      <w:r w:rsidR="004D0608" w:rsidRPr="00942B99">
        <w:rPr>
          <w:rFonts w:cs="Arial"/>
          <w:lang w:val="es-ES"/>
        </w:rPr>
        <w:t xml:space="preserve"> la actividad judicial hacia el final del horizonte de la entidad (2033-2038). </w:t>
      </w:r>
    </w:p>
    <w:p w14:paraId="1FB136B9" w14:textId="77777777" w:rsidR="00131CDD" w:rsidRPr="00942B99" w:rsidRDefault="00131CDD" w:rsidP="00DB3190">
      <w:pPr>
        <w:jc w:val="both"/>
        <w:rPr>
          <w:rFonts w:cs="Arial"/>
          <w:lang w:val="es-ES"/>
        </w:rPr>
      </w:pPr>
    </w:p>
    <w:p w14:paraId="6C8D1685" w14:textId="2C086116" w:rsidR="00131CDD" w:rsidRPr="00942B99" w:rsidRDefault="00131CDD" w:rsidP="00DB3190">
      <w:pPr>
        <w:jc w:val="both"/>
        <w:rPr>
          <w:rFonts w:cs="Arial"/>
          <w:lang w:val="es-ES"/>
        </w:rPr>
      </w:pPr>
      <w:r w:rsidRPr="00942B99">
        <w:rPr>
          <w:lang w:val="es-CO"/>
        </w:rPr>
        <w:t xml:space="preserve">La curva de comportamiento </w:t>
      </w:r>
      <w:r w:rsidR="00205785" w:rsidRPr="00942B99">
        <w:rPr>
          <w:lang w:val="es-CO"/>
        </w:rPr>
        <w:t>que ilustra estos momentos de</w:t>
      </w:r>
      <w:r w:rsidRPr="00942B99">
        <w:rPr>
          <w:lang w:val="es-CO"/>
        </w:rPr>
        <w:t xml:space="preserve"> la producción judicial en el que </w:t>
      </w:r>
      <w:r w:rsidR="00205785" w:rsidRPr="00942B99">
        <w:rPr>
          <w:lang w:val="es-CO"/>
        </w:rPr>
        <w:t>el avance metodológico, de conte</w:t>
      </w:r>
      <w:r w:rsidR="000737DA">
        <w:rPr>
          <w:lang w:val="es-CO"/>
        </w:rPr>
        <w:t>x</w:t>
      </w:r>
      <w:r w:rsidR="00205785" w:rsidRPr="00942B99">
        <w:rPr>
          <w:lang w:val="es-CO"/>
        </w:rPr>
        <w:t xml:space="preserve">to y de </w:t>
      </w:r>
      <w:r w:rsidRPr="00942B99">
        <w:rPr>
          <w:lang w:val="es-CO"/>
        </w:rPr>
        <w:t>investigación judicial para el esclarecimiento de la verdad es intensa al principio y, por tanto, la producción judicial en sí misma (resoluciones y sanciones) toma un tiempo para empezar a generarse. Sin embargo, tiene una pendiente marcada de crecimiento durante su etapa inicial,</w:t>
      </w:r>
      <w:r w:rsidR="001D3DCB" w:rsidRPr="00942B99">
        <w:rPr>
          <w:lang w:val="es-CO"/>
        </w:rPr>
        <w:t xml:space="preserve"> de manera que</w:t>
      </w:r>
      <w:r w:rsidRPr="00942B99">
        <w:rPr>
          <w:lang w:val="es-CO"/>
        </w:rPr>
        <w:t xml:space="preserve"> la producción judicial encuentra su pico máximo para empezar a disminuir con un ritmo menos marcado que el de crecimiento durante la etapa inicial (Ver Ilustración 4).</w:t>
      </w:r>
    </w:p>
    <w:p w14:paraId="16FA6995" w14:textId="77777777" w:rsidR="00131CDD" w:rsidRPr="002449A6" w:rsidRDefault="00131CDD" w:rsidP="00DB3190">
      <w:pPr>
        <w:jc w:val="both"/>
        <w:rPr>
          <w:sz w:val="22"/>
          <w:lang w:val="es-ES"/>
        </w:rPr>
      </w:pPr>
    </w:p>
    <w:p w14:paraId="020C4D11" w14:textId="22EE86A6" w:rsidR="004D0608" w:rsidRPr="004D0608" w:rsidRDefault="004D0608" w:rsidP="00DB3190">
      <w:pPr>
        <w:pStyle w:val="Descripcin"/>
        <w:spacing w:after="0"/>
        <w:rPr>
          <w:rFonts w:cs="Arial"/>
          <w:b/>
          <w:i w:val="0"/>
          <w:color w:val="auto"/>
          <w:sz w:val="22"/>
          <w:szCs w:val="22"/>
          <w:lang w:val="es-ES"/>
        </w:rPr>
      </w:pPr>
      <w:r w:rsidRPr="002449A6">
        <w:rPr>
          <w:b/>
          <w:i w:val="0"/>
          <w:color w:val="auto"/>
          <w:sz w:val="22"/>
          <w:lang w:val="es-CO"/>
        </w:rPr>
        <w:t xml:space="preserve">Ilustración </w:t>
      </w:r>
      <w:r w:rsidRPr="002449A6">
        <w:rPr>
          <w:b/>
          <w:i w:val="0"/>
          <w:color w:val="auto"/>
          <w:sz w:val="22"/>
        </w:rPr>
        <w:fldChar w:fldCharType="begin"/>
      </w:r>
      <w:r w:rsidRPr="002449A6">
        <w:rPr>
          <w:b/>
          <w:i w:val="0"/>
          <w:color w:val="auto"/>
          <w:sz w:val="22"/>
          <w:lang w:val="es-CO"/>
        </w:rPr>
        <w:instrText xml:space="preserve"> SEQ Ilustración \* ARABIC </w:instrText>
      </w:r>
      <w:r w:rsidRPr="002449A6">
        <w:rPr>
          <w:b/>
          <w:i w:val="0"/>
          <w:color w:val="auto"/>
          <w:sz w:val="22"/>
        </w:rPr>
        <w:fldChar w:fldCharType="separate"/>
      </w:r>
      <w:r w:rsidRPr="002449A6">
        <w:rPr>
          <w:b/>
          <w:i w:val="0"/>
          <w:color w:val="auto"/>
          <w:sz w:val="22"/>
          <w:lang w:val="es-CO"/>
        </w:rPr>
        <w:t>4</w:t>
      </w:r>
      <w:r w:rsidRPr="002449A6">
        <w:rPr>
          <w:b/>
          <w:i w:val="0"/>
          <w:color w:val="auto"/>
          <w:sz w:val="22"/>
        </w:rPr>
        <w:fldChar w:fldCharType="end"/>
      </w:r>
      <w:r w:rsidRPr="002449A6">
        <w:rPr>
          <w:b/>
          <w:i w:val="0"/>
          <w:color w:val="auto"/>
          <w:sz w:val="22"/>
          <w:lang w:val="es-CO"/>
        </w:rPr>
        <w:t xml:space="preserve">. </w:t>
      </w:r>
      <w:r w:rsidRPr="004D0608">
        <w:rPr>
          <w:b/>
          <w:i w:val="0"/>
          <w:color w:val="auto"/>
          <w:sz w:val="22"/>
          <w:szCs w:val="22"/>
          <w:lang w:val="es-CO"/>
        </w:rPr>
        <w:t>Ciclo de vida de la JEP - Prospectiva</w:t>
      </w:r>
    </w:p>
    <w:p w14:paraId="67403CA5" w14:textId="77777777" w:rsidR="004D0608" w:rsidRPr="004D0608" w:rsidRDefault="004D0608" w:rsidP="00DB3190">
      <w:pPr>
        <w:jc w:val="both"/>
        <w:rPr>
          <w:rFonts w:cs="Arial"/>
          <w:sz w:val="22"/>
          <w:szCs w:val="22"/>
          <w:lang w:val="es-ES"/>
        </w:rPr>
      </w:pPr>
      <w:r w:rsidRPr="004D0608">
        <w:rPr>
          <w:rFonts w:cs="Arial"/>
          <w:noProof/>
          <w:sz w:val="22"/>
          <w:szCs w:val="22"/>
          <w:lang w:val="es-CO" w:eastAsia="es-CO"/>
        </w:rPr>
        <w:drawing>
          <wp:inline distT="0" distB="0" distL="0" distR="0" wp14:anchorId="25CE4C2F" wp14:editId="3DA27006">
            <wp:extent cx="6157244"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59" t="17803" r="3259" b="12191"/>
                    <a:stretch/>
                  </pic:blipFill>
                  <pic:spPr bwMode="auto">
                    <a:xfrm>
                      <a:off x="0" y="0"/>
                      <a:ext cx="6157244" cy="2880000"/>
                    </a:xfrm>
                    <a:prstGeom prst="rect">
                      <a:avLst/>
                    </a:prstGeom>
                    <a:ln>
                      <a:noFill/>
                    </a:ln>
                    <a:extLst>
                      <a:ext uri="{53640926-AAD7-44D8-BBD7-CCE9431645EC}">
                        <a14:shadowObscured xmlns:a14="http://schemas.microsoft.com/office/drawing/2010/main"/>
                      </a:ext>
                    </a:extLst>
                  </pic:spPr>
                </pic:pic>
              </a:graphicData>
            </a:graphic>
          </wp:inline>
        </w:drawing>
      </w:r>
    </w:p>
    <w:p w14:paraId="2EFE85C4" w14:textId="5CACD761" w:rsidR="004D0608" w:rsidRDefault="004D0608" w:rsidP="00DB3190">
      <w:pPr>
        <w:pStyle w:val="textocorrido"/>
        <w:spacing w:before="0"/>
        <w:jc w:val="both"/>
        <w:rPr>
          <w:sz w:val="14"/>
          <w:szCs w:val="14"/>
          <w:lang w:val="es-CO"/>
        </w:rPr>
      </w:pPr>
      <w:r w:rsidRPr="008F2677">
        <w:rPr>
          <w:sz w:val="14"/>
          <w:szCs w:val="14"/>
          <w:lang w:val="es-CO"/>
        </w:rPr>
        <w:t xml:space="preserve">Elaboración: </w:t>
      </w:r>
      <w:r w:rsidR="001D3DCB">
        <w:rPr>
          <w:sz w:val="14"/>
          <w:szCs w:val="14"/>
          <w:lang w:val="es-CO"/>
        </w:rPr>
        <w:t xml:space="preserve">JEP - Secretaría Ejecutiva - </w:t>
      </w:r>
      <w:r w:rsidRPr="008F2677">
        <w:rPr>
          <w:sz w:val="14"/>
          <w:szCs w:val="14"/>
          <w:lang w:val="es-CO"/>
        </w:rPr>
        <w:t>Subdirección de Planeación (2020)</w:t>
      </w:r>
      <w:r>
        <w:rPr>
          <w:sz w:val="14"/>
          <w:szCs w:val="14"/>
          <w:lang w:val="es-CO"/>
        </w:rPr>
        <w:t xml:space="preserve">. </w:t>
      </w:r>
    </w:p>
    <w:p w14:paraId="173B6B45" w14:textId="77777777" w:rsidR="00B17E11" w:rsidRDefault="00B17E11" w:rsidP="00DB3190">
      <w:pPr>
        <w:jc w:val="both"/>
        <w:rPr>
          <w:rFonts w:cs="Arial"/>
          <w:lang w:val="es-ES"/>
        </w:rPr>
      </w:pPr>
    </w:p>
    <w:p w14:paraId="0EB6E29F" w14:textId="7AD82A61" w:rsidR="004D0608" w:rsidRPr="00942B99" w:rsidRDefault="004D0608" w:rsidP="00DB3190">
      <w:pPr>
        <w:jc w:val="both"/>
        <w:rPr>
          <w:rFonts w:cs="Arial"/>
          <w:lang w:val="es-ES"/>
        </w:rPr>
      </w:pPr>
      <w:r w:rsidRPr="00942B99">
        <w:rPr>
          <w:rFonts w:cs="Arial"/>
          <w:lang w:val="es-ES"/>
        </w:rPr>
        <w:t>Ahora, desde el punto de vista de la priorización y asignación de recursos por parte del Estado, es muy importante entender la dinámica particular, para desplegar y soportar estratégicamente las iniciativas de inversión y el funcionamiento que permitan optimizar en los primeros PEC, sin vulnera</w:t>
      </w:r>
      <w:r w:rsidR="004C3DD8" w:rsidRPr="00942B99">
        <w:rPr>
          <w:rFonts w:cs="Arial"/>
          <w:lang w:val="es-ES"/>
        </w:rPr>
        <w:t xml:space="preserve">r o restringir los desafíos de </w:t>
      </w:r>
      <w:r w:rsidR="00205785" w:rsidRPr="00942B99">
        <w:rPr>
          <w:rFonts w:cs="Arial"/>
          <w:lang w:val="es-ES"/>
        </w:rPr>
        <w:t>p</w:t>
      </w:r>
      <w:r w:rsidRPr="00942B99">
        <w:rPr>
          <w:rFonts w:cs="Arial"/>
          <w:lang w:val="es-ES"/>
        </w:rPr>
        <w:t>az en lo que corresponde a la JEP.</w:t>
      </w:r>
    </w:p>
    <w:p w14:paraId="19209FBE" w14:textId="77777777" w:rsidR="004D0608" w:rsidRPr="00942B99" w:rsidRDefault="004D0608" w:rsidP="00DB3190">
      <w:pPr>
        <w:jc w:val="both"/>
        <w:rPr>
          <w:rFonts w:cs="Arial"/>
          <w:lang w:val="es-ES"/>
        </w:rPr>
      </w:pPr>
      <w:r w:rsidRPr="00942B99">
        <w:rPr>
          <w:rFonts w:cs="Arial"/>
          <w:lang w:val="es-ES"/>
        </w:rPr>
        <w:t xml:space="preserve"> </w:t>
      </w:r>
    </w:p>
    <w:p w14:paraId="139CF56C" w14:textId="58815BC9" w:rsidR="004D0608" w:rsidRPr="00942B99" w:rsidRDefault="004D0608" w:rsidP="00DB3190">
      <w:pPr>
        <w:jc w:val="both"/>
        <w:rPr>
          <w:rFonts w:cs="Arial"/>
          <w:lang w:val="es-ES"/>
        </w:rPr>
      </w:pPr>
      <w:r w:rsidRPr="00942B99">
        <w:rPr>
          <w:rFonts w:cs="Arial"/>
          <w:lang w:val="es-ES"/>
        </w:rPr>
        <w:lastRenderedPageBreak/>
        <w:t>Frente a la actual coyuntura política, económica y social, en el ámbito nacional y global, que pueden conllevar a restringir las primeras etapas de la JEP (PEC 2019-2022) con asignaciones limitadas</w:t>
      </w:r>
      <w:r w:rsidR="001D3DCB" w:rsidRPr="00942B99">
        <w:rPr>
          <w:rFonts w:cs="Arial"/>
          <w:lang w:val="es-ES"/>
        </w:rPr>
        <w:t xml:space="preserve">, se debe señalar que ello puede </w:t>
      </w:r>
      <w:r w:rsidRPr="00942B99">
        <w:rPr>
          <w:rFonts w:cs="Arial"/>
          <w:lang w:val="es-ES"/>
        </w:rPr>
        <w:t xml:space="preserve">retrasar la atención de los hechos </w:t>
      </w:r>
      <w:r w:rsidR="001D3DCB" w:rsidRPr="00942B99">
        <w:rPr>
          <w:rFonts w:cs="Arial"/>
          <w:lang w:val="es-ES"/>
        </w:rPr>
        <w:t xml:space="preserve">sobre los que se administra justicia </w:t>
      </w:r>
      <w:r w:rsidRPr="00942B99">
        <w:rPr>
          <w:rFonts w:cs="Arial"/>
          <w:lang w:val="es-ES"/>
        </w:rPr>
        <w:t>en el mediano y largo plazo; aspecto que no solo afectará</w:t>
      </w:r>
      <w:r w:rsidR="000737DA">
        <w:rPr>
          <w:rFonts w:cs="Arial"/>
          <w:lang w:val="es-ES"/>
        </w:rPr>
        <w:t xml:space="preserve"> las </w:t>
      </w:r>
      <w:r w:rsidRPr="00942B99">
        <w:rPr>
          <w:rFonts w:cs="Arial"/>
          <w:lang w:val="es-ES"/>
        </w:rPr>
        <w:t>expectativas de la sociedad (nacional</w:t>
      </w:r>
      <w:r w:rsidR="001D3DCB" w:rsidRPr="00942B99">
        <w:rPr>
          <w:rFonts w:cs="Arial"/>
          <w:lang w:val="es-ES"/>
        </w:rPr>
        <w:t xml:space="preserve"> e</w:t>
      </w:r>
      <w:r w:rsidRPr="00942B99">
        <w:rPr>
          <w:rFonts w:cs="Arial"/>
          <w:lang w:val="es-ES"/>
        </w:rPr>
        <w:t xml:space="preserve"> internacional), </w:t>
      </w:r>
      <w:r w:rsidR="001D3DCB" w:rsidRPr="00942B99">
        <w:rPr>
          <w:rFonts w:cs="Arial"/>
          <w:lang w:val="es-ES"/>
        </w:rPr>
        <w:t xml:space="preserve">sino </w:t>
      </w:r>
      <w:r w:rsidRPr="00942B99">
        <w:rPr>
          <w:rFonts w:cs="Arial"/>
          <w:lang w:val="es-ES"/>
        </w:rPr>
        <w:t>la efectividad institucional (limitada gestión sobre los hechos) y la</w:t>
      </w:r>
      <w:r w:rsidR="001D3DCB" w:rsidRPr="00942B99">
        <w:rPr>
          <w:rFonts w:cs="Arial"/>
          <w:lang w:val="es-ES"/>
        </w:rPr>
        <w:t>s</w:t>
      </w:r>
      <w:r w:rsidRPr="00942B99">
        <w:rPr>
          <w:rFonts w:cs="Arial"/>
          <w:lang w:val="es-ES"/>
        </w:rPr>
        <w:t xml:space="preserve"> garantía</w:t>
      </w:r>
      <w:r w:rsidR="001D3DCB" w:rsidRPr="00942B99">
        <w:rPr>
          <w:rFonts w:cs="Arial"/>
          <w:lang w:val="es-ES"/>
        </w:rPr>
        <w:t>s</w:t>
      </w:r>
      <w:r w:rsidRPr="00942B99">
        <w:rPr>
          <w:rFonts w:cs="Arial"/>
          <w:lang w:val="es-ES"/>
        </w:rPr>
        <w:t xml:space="preserve"> de no repetición en el marco de una paz en construcción.</w:t>
      </w:r>
    </w:p>
    <w:p w14:paraId="03231013" w14:textId="77777777" w:rsidR="00F35CC0" w:rsidRPr="00942B99" w:rsidRDefault="00F35CC0" w:rsidP="00DB3190">
      <w:pPr>
        <w:jc w:val="both"/>
        <w:rPr>
          <w:rFonts w:cs="Arial"/>
          <w:lang w:val="es-ES"/>
        </w:rPr>
      </w:pPr>
    </w:p>
    <w:p w14:paraId="5118C5BC" w14:textId="41728564" w:rsidR="004D0608" w:rsidRPr="00942B99" w:rsidRDefault="004D0608" w:rsidP="00DB3190">
      <w:pPr>
        <w:jc w:val="both"/>
        <w:rPr>
          <w:rFonts w:cs="Arial"/>
          <w:lang w:val="es-ES"/>
        </w:rPr>
      </w:pPr>
      <w:r w:rsidRPr="00942B99">
        <w:rPr>
          <w:rFonts w:cs="Arial"/>
          <w:lang w:val="es-ES"/>
        </w:rPr>
        <w:t xml:space="preserve">Cualquier brecha entre las necesidades tempranas y las asignaciones efectivas, van a llevar a un represamiento de necesidades de la justicia y </w:t>
      </w:r>
      <w:r w:rsidR="001D3DCB" w:rsidRPr="00942B99">
        <w:rPr>
          <w:rFonts w:cs="Arial"/>
          <w:lang w:val="es-ES"/>
        </w:rPr>
        <w:t xml:space="preserve">a demandar </w:t>
      </w:r>
      <w:r w:rsidRPr="00942B99">
        <w:rPr>
          <w:rFonts w:cs="Arial"/>
          <w:lang w:val="es-ES"/>
        </w:rPr>
        <w:t xml:space="preserve">mayores recursos en los próximos </w:t>
      </w:r>
      <w:r w:rsidR="001D3DCB" w:rsidRPr="00942B99">
        <w:rPr>
          <w:rFonts w:cs="Arial"/>
          <w:lang w:val="es-ES"/>
        </w:rPr>
        <w:t>cuatrienios</w:t>
      </w:r>
      <w:r w:rsidRPr="00942B99">
        <w:rPr>
          <w:rFonts w:cs="Arial"/>
          <w:lang w:val="es-ES"/>
        </w:rPr>
        <w:t>, presionando a la ampliación de horizonte previsto inicialmente para</w:t>
      </w:r>
      <w:r w:rsidR="000737DA">
        <w:rPr>
          <w:rFonts w:cs="Arial"/>
          <w:lang w:val="es-ES"/>
        </w:rPr>
        <w:t xml:space="preserve"> </w:t>
      </w:r>
      <w:r w:rsidRPr="00942B99">
        <w:rPr>
          <w:rFonts w:cs="Arial"/>
          <w:lang w:val="es-ES"/>
        </w:rPr>
        <w:t>2033, a cinco</w:t>
      </w:r>
      <w:r w:rsidR="000737DA">
        <w:rPr>
          <w:rFonts w:cs="Arial"/>
          <w:lang w:val="es-ES"/>
        </w:rPr>
        <w:t xml:space="preserve"> </w:t>
      </w:r>
      <w:r w:rsidRPr="00942B99">
        <w:rPr>
          <w:rFonts w:cs="Arial"/>
          <w:lang w:val="es-ES"/>
        </w:rPr>
        <w:t>años más</w:t>
      </w:r>
      <w:r w:rsidR="001D3DCB" w:rsidRPr="00942B99">
        <w:rPr>
          <w:rFonts w:cs="Arial"/>
          <w:lang w:val="es-ES"/>
        </w:rPr>
        <w:t xml:space="preserve"> o a generar limitaciones serias en el cumplimiento de la misión de la entidad y sus objetivos constitucionales y legales.</w:t>
      </w:r>
    </w:p>
    <w:p w14:paraId="61C98C4B" w14:textId="77777777" w:rsidR="004D0608" w:rsidRPr="00942B99" w:rsidRDefault="004D0608" w:rsidP="00DB3190">
      <w:pPr>
        <w:jc w:val="both"/>
        <w:rPr>
          <w:rFonts w:cs="Arial"/>
          <w:lang w:val="es-CO"/>
        </w:rPr>
      </w:pPr>
    </w:p>
    <w:p w14:paraId="4318B46B" w14:textId="1BB078A3" w:rsidR="004D0608" w:rsidRDefault="004D0608" w:rsidP="00DB3190">
      <w:pPr>
        <w:jc w:val="both"/>
        <w:rPr>
          <w:rFonts w:cs="Arial"/>
          <w:lang w:val="es-MX"/>
        </w:rPr>
      </w:pPr>
      <w:r w:rsidRPr="00942B99">
        <w:rPr>
          <w:rFonts w:cs="Arial"/>
          <w:lang w:val="es-CO"/>
        </w:rPr>
        <w:t xml:space="preserve">A manera de ejemplo, </w:t>
      </w:r>
      <w:r w:rsidR="001D3DCB" w:rsidRPr="00942B99">
        <w:rPr>
          <w:rFonts w:cs="Arial"/>
          <w:lang w:val="es-CO"/>
        </w:rPr>
        <w:t>la entidad está v</w:t>
      </w:r>
      <w:r w:rsidRPr="00942B99">
        <w:rPr>
          <w:rFonts w:cs="Arial"/>
          <w:lang w:val="es-CO"/>
        </w:rPr>
        <w:t xml:space="preserve">alorando la optimización de la atención de los casos con las capacidades actuales y bajo asignaciones austeras y corrientes para la planta de personal. </w:t>
      </w:r>
      <w:r w:rsidRPr="00942B99">
        <w:rPr>
          <w:rFonts w:cs="Arial"/>
          <w:lang w:val="es-MX"/>
        </w:rPr>
        <w:t xml:space="preserve">Hoy </w:t>
      </w:r>
      <w:r w:rsidR="001D3DCB" w:rsidRPr="00942B99">
        <w:rPr>
          <w:rFonts w:cs="Arial"/>
          <w:lang w:val="es-MX"/>
        </w:rPr>
        <w:t>hay</w:t>
      </w:r>
      <w:r w:rsidRPr="00942B99">
        <w:rPr>
          <w:rFonts w:cs="Arial"/>
          <w:lang w:val="es-MX"/>
        </w:rPr>
        <w:t xml:space="preserve"> un volumen de hechos por investigar, juzgar y sancionar, que cada día crece (por nueva información</w:t>
      </w:r>
      <w:r w:rsidR="001D3DCB" w:rsidRPr="00942B99">
        <w:rPr>
          <w:rFonts w:cs="Arial"/>
          <w:lang w:val="es-MX"/>
        </w:rPr>
        <w:t xml:space="preserve"> y avances en la actividad judicial y de investigación</w:t>
      </w:r>
      <w:r w:rsidRPr="00942B99">
        <w:rPr>
          <w:rFonts w:cs="Arial"/>
          <w:lang w:val="es-MX"/>
        </w:rPr>
        <w:t xml:space="preserve">), los cuales </w:t>
      </w:r>
      <w:r w:rsidR="000737DA">
        <w:rPr>
          <w:rFonts w:cs="Arial"/>
          <w:lang w:val="es-MX"/>
        </w:rPr>
        <w:t>cuentan con</w:t>
      </w:r>
      <w:r w:rsidRPr="00942B99">
        <w:rPr>
          <w:rFonts w:cs="Arial"/>
          <w:lang w:val="es-MX"/>
        </w:rPr>
        <w:t xml:space="preserve"> </w:t>
      </w:r>
      <w:r w:rsidR="004C3DD8" w:rsidRPr="00942B99">
        <w:rPr>
          <w:rFonts w:cs="Arial"/>
          <w:lang w:val="es-MX"/>
        </w:rPr>
        <w:t>7 macro</w:t>
      </w:r>
      <w:r w:rsidR="00C06B87">
        <w:rPr>
          <w:rFonts w:cs="Arial"/>
          <w:lang w:val="es-MX"/>
        </w:rPr>
        <w:t xml:space="preserve"> - </w:t>
      </w:r>
      <w:r w:rsidR="004C3DD8" w:rsidRPr="00942B99">
        <w:rPr>
          <w:rFonts w:cs="Arial"/>
          <w:lang w:val="es-MX"/>
        </w:rPr>
        <w:t>casos</w:t>
      </w:r>
      <w:r w:rsidR="000737DA">
        <w:rPr>
          <w:rFonts w:cs="Arial"/>
          <w:lang w:val="es-MX"/>
        </w:rPr>
        <w:t xml:space="preserve"> abiertos, que</w:t>
      </w:r>
      <w:r w:rsidRPr="00942B99">
        <w:rPr>
          <w:rFonts w:cs="Arial"/>
          <w:lang w:val="es-MX"/>
        </w:rPr>
        <w:t xml:space="preserve"> deben ser conocidos y gestionados primero por </w:t>
      </w:r>
      <w:r w:rsidR="000737DA">
        <w:rPr>
          <w:rFonts w:cs="Arial"/>
          <w:lang w:val="es-MX"/>
        </w:rPr>
        <w:t>la Sala de Reconocimiento de Verdad y Responsabilidad</w:t>
      </w:r>
      <w:r w:rsidRPr="00942B99">
        <w:rPr>
          <w:rFonts w:cs="Arial"/>
          <w:lang w:val="es-MX"/>
        </w:rPr>
        <w:t xml:space="preserve">, con acompañamiento del </w:t>
      </w:r>
      <w:r w:rsidR="004C3DD8" w:rsidRPr="00942B99">
        <w:rPr>
          <w:rFonts w:cs="Arial"/>
          <w:lang w:val="es-MX"/>
        </w:rPr>
        <w:t>Grupo de Análisis de Información (</w:t>
      </w:r>
      <w:r w:rsidRPr="00942B99">
        <w:rPr>
          <w:rFonts w:cs="Arial"/>
          <w:lang w:val="es-MX"/>
        </w:rPr>
        <w:t>GRAI</w:t>
      </w:r>
      <w:r w:rsidR="004C3DD8" w:rsidRPr="00942B99">
        <w:rPr>
          <w:rFonts w:cs="Arial"/>
          <w:lang w:val="es-MX"/>
        </w:rPr>
        <w:t>)</w:t>
      </w:r>
      <w:r w:rsidRPr="00942B99">
        <w:rPr>
          <w:rFonts w:cs="Arial"/>
          <w:lang w:val="es-MX"/>
        </w:rPr>
        <w:t>,</w:t>
      </w:r>
      <w:r w:rsidR="000737DA">
        <w:rPr>
          <w:rFonts w:cs="Arial"/>
          <w:lang w:val="es-MX"/>
        </w:rPr>
        <w:t xml:space="preserve"> </w:t>
      </w:r>
      <w:r w:rsidRPr="00942B99">
        <w:rPr>
          <w:rFonts w:cs="Arial"/>
          <w:lang w:val="es-MX"/>
        </w:rPr>
        <w:t>la UIA</w:t>
      </w:r>
      <w:r w:rsidR="000737DA">
        <w:rPr>
          <w:rFonts w:cs="Arial"/>
          <w:lang w:val="es-MX"/>
        </w:rPr>
        <w:t xml:space="preserve"> </w:t>
      </w:r>
      <w:r w:rsidRPr="00942B99">
        <w:rPr>
          <w:rFonts w:cs="Arial"/>
          <w:lang w:val="es-MX"/>
        </w:rPr>
        <w:t>y la misma Secretaría Ejecutiva. Cons</w:t>
      </w:r>
      <w:r w:rsidR="001D3DCB" w:rsidRPr="00942B99">
        <w:rPr>
          <w:rFonts w:cs="Arial"/>
          <w:lang w:val="es-MX"/>
        </w:rPr>
        <w:t>c</w:t>
      </w:r>
      <w:r w:rsidRPr="00942B99">
        <w:rPr>
          <w:rFonts w:cs="Arial"/>
          <w:lang w:val="es-MX"/>
        </w:rPr>
        <w:t xml:space="preserve">ientes de </w:t>
      </w:r>
      <w:r w:rsidR="001D3DCB" w:rsidRPr="00942B99">
        <w:rPr>
          <w:rFonts w:cs="Arial"/>
          <w:lang w:val="es-MX"/>
        </w:rPr>
        <w:t>los</w:t>
      </w:r>
      <w:r w:rsidRPr="00942B99">
        <w:rPr>
          <w:rFonts w:cs="Arial"/>
          <w:lang w:val="es-MX"/>
        </w:rPr>
        <w:t xml:space="preserve"> cuellos de botella, </w:t>
      </w:r>
      <w:r w:rsidR="001D3DCB" w:rsidRPr="00942B99">
        <w:rPr>
          <w:rFonts w:cs="Arial"/>
          <w:lang w:val="es-MX"/>
        </w:rPr>
        <w:t>las sala</w:t>
      </w:r>
      <w:r w:rsidR="00D94E69">
        <w:rPr>
          <w:rFonts w:cs="Arial"/>
          <w:lang w:val="es-MX"/>
        </w:rPr>
        <w:t>s</w:t>
      </w:r>
      <w:r w:rsidR="001D3DCB" w:rsidRPr="00942B99">
        <w:rPr>
          <w:rFonts w:cs="Arial"/>
          <w:lang w:val="es-MX"/>
        </w:rPr>
        <w:t xml:space="preserve"> de justicia se apoyan </w:t>
      </w:r>
      <w:r w:rsidRPr="00942B99">
        <w:rPr>
          <w:rFonts w:cs="Arial"/>
          <w:lang w:val="es-MX"/>
        </w:rPr>
        <w:t>con la capacidad</w:t>
      </w:r>
      <w:r w:rsidR="000737DA">
        <w:rPr>
          <w:rFonts w:cs="Arial"/>
          <w:lang w:val="es-MX"/>
        </w:rPr>
        <w:t xml:space="preserve"> de las secciones</w:t>
      </w:r>
      <w:r w:rsidRPr="00942B99">
        <w:rPr>
          <w:rFonts w:cs="Arial"/>
          <w:lang w:val="es-MX"/>
        </w:rPr>
        <w:t xml:space="preserve"> </w:t>
      </w:r>
      <w:r w:rsidR="000737DA">
        <w:rPr>
          <w:rFonts w:cs="Arial"/>
          <w:lang w:val="es-MX"/>
        </w:rPr>
        <w:t>del Tribunal para la Paz</w:t>
      </w:r>
      <w:r w:rsidR="001D3DCB" w:rsidRPr="00942B99">
        <w:rPr>
          <w:rFonts w:cs="Arial"/>
          <w:lang w:val="es-MX"/>
        </w:rPr>
        <w:t xml:space="preserve"> mediante </w:t>
      </w:r>
      <w:r w:rsidR="00D94E69">
        <w:rPr>
          <w:rFonts w:cs="Arial"/>
          <w:lang w:val="es-MX"/>
        </w:rPr>
        <w:t xml:space="preserve">la </w:t>
      </w:r>
      <w:r w:rsidR="001D3DCB" w:rsidRPr="00942B99">
        <w:rPr>
          <w:rFonts w:cs="Arial"/>
          <w:lang w:val="es-MX"/>
        </w:rPr>
        <w:t>figura de movilidad</w:t>
      </w:r>
      <w:r w:rsidRPr="00942B99">
        <w:rPr>
          <w:rFonts w:cs="Arial"/>
          <w:lang w:val="es-MX"/>
        </w:rPr>
        <w:t xml:space="preserve">, sabiendo que en la medida que los casos avancen las capacidades de conocimiento e investigación nuevamente deberán reorientarse para atender los desafíos de juzgamiento y sanción en </w:t>
      </w:r>
      <w:r w:rsidR="001D3DCB" w:rsidRPr="00942B99">
        <w:rPr>
          <w:rFonts w:cs="Arial"/>
          <w:lang w:val="es-MX"/>
        </w:rPr>
        <w:t>el Tribunal para la Paz y sus secciones</w:t>
      </w:r>
      <w:r w:rsidRPr="00942B99">
        <w:rPr>
          <w:rFonts w:cs="Arial"/>
          <w:lang w:val="es-MX"/>
        </w:rPr>
        <w:t>.</w:t>
      </w:r>
    </w:p>
    <w:p w14:paraId="05B8CEE4" w14:textId="1DE5C1B8" w:rsidR="00726AED" w:rsidRDefault="00726AED" w:rsidP="00DB3190">
      <w:pPr>
        <w:jc w:val="both"/>
        <w:rPr>
          <w:rFonts w:cs="Arial"/>
          <w:lang w:val="es-MX"/>
        </w:rPr>
      </w:pPr>
    </w:p>
    <w:p w14:paraId="12456EDD" w14:textId="2739F176" w:rsidR="00726AED" w:rsidRPr="00942B99" w:rsidRDefault="00726AED" w:rsidP="00DB3190">
      <w:pPr>
        <w:jc w:val="both"/>
        <w:rPr>
          <w:rFonts w:cs="Arial"/>
          <w:lang w:val="es-MX"/>
        </w:rPr>
      </w:pPr>
      <w:r>
        <w:rPr>
          <w:rFonts w:cs="Arial"/>
          <w:lang w:val="es-MX"/>
        </w:rPr>
        <w:t xml:space="preserve">En este sentido, el Reglamento general de la Jurisdicción, adoptado por la Sala Plena mediante Acuerdo, prevé en su artículo 43 la movilidad temporal, que da lugar a la asignación de magistradas y magistrados a las distintas salas y secciones conforme a unos criterios: i) solicitud al Órgano de Gobierno por parte de la respectiva sala o sección o cualquiera de los magistrados; </w:t>
      </w:r>
      <w:proofErr w:type="spellStart"/>
      <w:r>
        <w:rPr>
          <w:rFonts w:cs="Arial"/>
          <w:lang w:val="es-MX"/>
        </w:rPr>
        <w:t>ii</w:t>
      </w:r>
      <w:proofErr w:type="spellEnd"/>
      <w:r>
        <w:rPr>
          <w:rFonts w:cs="Arial"/>
          <w:lang w:val="es-MX"/>
        </w:rPr>
        <w:t xml:space="preserve">) evaluación y decisión por parte del Órgano de Gobierno conforme a principios de imparcialidad, independencia, transparencia, confidencialidad y garantías de los sujetos procesales; </w:t>
      </w:r>
      <w:proofErr w:type="spellStart"/>
      <w:r>
        <w:rPr>
          <w:rFonts w:cs="Arial"/>
          <w:lang w:val="es-MX"/>
        </w:rPr>
        <w:t>iii</w:t>
      </w:r>
      <w:proofErr w:type="spellEnd"/>
      <w:r>
        <w:rPr>
          <w:rFonts w:cs="Arial"/>
          <w:lang w:val="es-MX"/>
        </w:rPr>
        <w:t xml:space="preserve">) procede entre salas, o entre secciones, se secciones a salas y de salas a secciones; </w:t>
      </w:r>
      <w:proofErr w:type="spellStart"/>
      <w:r>
        <w:rPr>
          <w:rFonts w:cs="Arial"/>
          <w:lang w:val="es-MX"/>
        </w:rPr>
        <w:t>iv</w:t>
      </w:r>
      <w:proofErr w:type="spellEnd"/>
      <w:r>
        <w:rPr>
          <w:rFonts w:cs="Arial"/>
          <w:lang w:val="es-MX"/>
        </w:rPr>
        <w:t>) para la decisión se contemplan el principio de trabajo conjunto para satisfacer los objetivos misionales de la JEP, la prelación de los derechos de las víctimas y la necesidad de adoptar decisiones en plazos razonables; v) los magistrados asignados temporalmente para atender la acumulación de trabajo sustentarán sus ponencias ante a sub(sala o (sub)sección respectiva y cuentan con voz y voto; vi) el magistrado asignado temporalmente cumple tales funciones sin perjuicio de las funciones propias de su cargo</w:t>
      </w:r>
      <w:r w:rsidR="00F62AEF">
        <w:rPr>
          <w:rStyle w:val="Refdenotaalpie"/>
          <w:rFonts w:cs="Arial"/>
          <w:lang w:val="es-MX"/>
        </w:rPr>
        <w:footnoteReference w:id="6"/>
      </w:r>
      <w:r>
        <w:rPr>
          <w:rFonts w:cs="Arial"/>
          <w:lang w:val="es-MX"/>
        </w:rPr>
        <w:t>.</w:t>
      </w:r>
    </w:p>
    <w:p w14:paraId="2CF2E205" w14:textId="10BEAFA9" w:rsidR="004D0608" w:rsidRDefault="004D0608" w:rsidP="00DB3190">
      <w:pPr>
        <w:pStyle w:val="textocorrido"/>
        <w:spacing w:before="0"/>
        <w:jc w:val="both"/>
        <w:rPr>
          <w:rFonts w:ascii="Palatino Linotype" w:hAnsi="Palatino Linotype"/>
          <w:color w:val="auto"/>
          <w:sz w:val="24"/>
          <w:lang w:val="es-MX"/>
        </w:rPr>
      </w:pPr>
    </w:p>
    <w:p w14:paraId="7E659931" w14:textId="6D609E31" w:rsidR="00726AED" w:rsidRDefault="00726AED" w:rsidP="00DB3190">
      <w:pPr>
        <w:pStyle w:val="textocorrido"/>
        <w:spacing w:before="0"/>
        <w:jc w:val="both"/>
        <w:rPr>
          <w:rFonts w:ascii="Palatino Linotype" w:hAnsi="Palatino Linotype"/>
          <w:color w:val="auto"/>
          <w:sz w:val="24"/>
          <w:lang w:val="es-MX"/>
        </w:rPr>
      </w:pPr>
      <w:r>
        <w:rPr>
          <w:rFonts w:ascii="Palatino Linotype" w:hAnsi="Palatino Linotype"/>
          <w:color w:val="auto"/>
          <w:sz w:val="24"/>
          <w:lang w:val="es-MX"/>
        </w:rPr>
        <w:lastRenderedPageBreak/>
        <w:t>Así mismo, la entidad ha implementado planes para superar el represamiento de solicitudes en la Sala de Definición de Situaciones Jurídicas (SDSJ) y en la Sala de Amnistía o Indulto (SAI).</w:t>
      </w:r>
    </w:p>
    <w:p w14:paraId="5E1B4705" w14:textId="77777777" w:rsidR="00726AED" w:rsidRPr="00942B99" w:rsidRDefault="00726AED" w:rsidP="00DB3190">
      <w:pPr>
        <w:pStyle w:val="textocorrido"/>
        <w:spacing w:before="0"/>
        <w:jc w:val="both"/>
        <w:rPr>
          <w:rFonts w:ascii="Palatino Linotype" w:hAnsi="Palatino Linotype"/>
          <w:color w:val="auto"/>
          <w:sz w:val="24"/>
          <w:lang w:val="es-MX"/>
        </w:rPr>
      </w:pPr>
    </w:p>
    <w:p w14:paraId="4BCAB4A0" w14:textId="6372251C" w:rsidR="00FE48D3" w:rsidRPr="00942B99" w:rsidRDefault="00726AED" w:rsidP="00DB3190">
      <w:pPr>
        <w:pStyle w:val="textocorrido"/>
        <w:spacing w:before="0"/>
        <w:jc w:val="both"/>
        <w:rPr>
          <w:rFonts w:ascii="Palatino Linotype" w:hAnsi="Palatino Linotype"/>
          <w:color w:val="auto"/>
          <w:sz w:val="24"/>
          <w:lang w:val="es-CO"/>
        </w:rPr>
      </w:pPr>
      <w:r>
        <w:rPr>
          <w:rFonts w:ascii="Palatino Linotype" w:hAnsi="Palatino Linotype"/>
          <w:color w:val="auto"/>
          <w:sz w:val="24"/>
          <w:lang w:val="es-CO"/>
        </w:rPr>
        <w:t xml:space="preserve">En </w:t>
      </w:r>
      <w:r w:rsidR="00E21267" w:rsidRPr="00942B99">
        <w:rPr>
          <w:rFonts w:ascii="Palatino Linotype" w:hAnsi="Palatino Linotype"/>
          <w:color w:val="auto"/>
          <w:sz w:val="24"/>
          <w:lang w:val="es-CO"/>
        </w:rPr>
        <w:t xml:space="preserve">la Ilustración 4 se muestra este análisis prospectivo de la dinámica de la Jurisdicción. </w:t>
      </w:r>
      <w:r w:rsidR="00CE01E2" w:rsidRPr="00942B99">
        <w:rPr>
          <w:rFonts w:ascii="Palatino Linotype" w:hAnsi="Palatino Linotype"/>
          <w:color w:val="auto"/>
          <w:sz w:val="24"/>
          <w:lang w:val="es-CO"/>
        </w:rPr>
        <w:t>En este análisis</w:t>
      </w:r>
      <w:r w:rsidR="001D3DCB" w:rsidRPr="00942B99">
        <w:rPr>
          <w:rFonts w:ascii="Palatino Linotype" w:hAnsi="Palatino Linotype"/>
          <w:color w:val="auto"/>
          <w:sz w:val="24"/>
          <w:lang w:val="es-CO"/>
        </w:rPr>
        <w:t>,</w:t>
      </w:r>
      <w:r w:rsidR="00CE01E2" w:rsidRPr="00942B99">
        <w:rPr>
          <w:rFonts w:ascii="Palatino Linotype" w:hAnsi="Palatino Linotype"/>
          <w:color w:val="auto"/>
          <w:sz w:val="24"/>
          <w:lang w:val="es-CO"/>
        </w:rPr>
        <w:t xml:space="preserve"> la variable tiempo es finita y, por tanto, toma mayor relevancia porque cualquier afectación en las demás variables</w:t>
      </w:r>
      <w:r w:rsidR="001D3DCB" w:rsidRPr="00942B99">
        <w:rPr>
          <w:rFonts w:ascii="Palatino Linotype" w:hAnsi="Palatino Linotype"/>
          <w:color w:val="auto"/>
          <w:sz w:val="24"/>
          <w:lang w:val="es-CO"/>
        </w:rPr>
        <w:t xml:space="preserve"> e</w:t>
      </w:r>
      <w:r w:rsidR="00CE01E2" w:rsidRPr="00942B99">
        <w:rPr>
          <w:rFonts w:ascii="Palatino Linotype" w:hAnsi="Palatino Linotype"/>
          <w:color w:val="auto"/>
          <w:sz w:val="24"/>
          <w:lang w:val="es-CO"/>
        </w:rPr>
        <w:t xml:space="preserve"> implica dos cosas: i) </w:t>
      </w:r>
      <w:r w:rsidR="001D3DCB" w:rsidRPr="00942B99">
        <w:rPr>
          <w:rFonts w:ascii="Palatino Linotype" w:hAnsi="Palatino Linotype"/>
          <w:color w:val="auto"/>
          <w:sz w:val="24"/>
          <w:lang w:val="es-CO"/>
        </w:rPr>
        <w:t>q</w:t>
      </w:r>
      <w:r w:rsidR="00CE01E2" w:rsidRPr="00942B99">
        <w:rPr>
          <w:rFonts w:ascii="Palatino Linotype" w:hAnsi="Palatino Linotype"/>
          <w:color w:val="auto"/>
          <w:sz w:val="24"/>
          <w:lang w:val="es-CO"/>
        </w:rPr>
        <w:t>ue las curvas deben reconfigurarse drásticamente para cumplir el objetivo</w:t>
      </w:r>
      <w:r w:rsidR="00FE48D3" w:rsidRPr="00942B99">
        <w:rPr>
          <w:rFonts w:ascii="Palatino Linotype" w:hAnsi="Palatino Linotype"/>
          <w:color w:val="auto"/>
          <w:sz w:val="24"/>
          <w:lang w:val="es-CO"/>
        </w:rPr>
        <w:t xml:space="preserve"> sin sobrepasar el límite de tiempo, </w:t>
      </w:r>
      <w:r w:rsidR="001D3DCB" w:rsidRPr="00942B99">
        <w:rPr>
          <w:rFonts w:ascii="Palatino Linotype" w:hAnsi="Palatino Linotype"/>
          <w:color w:val="auto"/>
          <w:sz w:val="24"/>
          <w:lang w:val="es-CO"/>
        </w:rPr>
        <w:t>o,</w:t>
      </w:r>
      <w:r w:rsidR="00FE48D3" w:rsidRPr="00942B99">
        <w:rPr>
          <w:rFonts w:ascii="Palatino Linotype" w:hAnsi="Palatino Linotype"/>
          <w:color w:val="auto"/>
          <w:sz w:val="24"/>
          <w:lang w:val="es-CO"/>
        </w:rPr>
        <w:t xml:space="preserve"> </w:t>
      </w:r>
      <w:proofErr w:type="spellStart"/>
      <w:r w:rsidR="00FE48D3" w:rsidRPr="00942B99">
        <w:rPr>
          <w:rFonts w:ascii="Palatino Linotype" w:hAnsi="Palatino Linotype"/>
          <w:color w:val="auto"/>
          <w:sz w:val="24"/>
          <w:lang w:val="es-CO"/>
        </w:rPr>
        <w:t>ii</w:t>
      </w:r>
      <w:proofErr w:type="spellEnd"/>
      <w:r w:rsidR="00FE48D3" w:rsidRPr="00942B99">
        <w:rPr>
          <w:rFonts w:ascii="Palatino Linotype" w:hAnsi="Palatino Linotype"/>
          <w:color w:val="auto"/>
          <w:sz w:val="24"/>
          <w:lang w:val="es-CO"/>
        </w:rPr>
        <w:t xml:space="preserve">) </w:t>
      </w:r>
      <w:r w:rsidR="001D3DCB" w:rsidRPr="00942B99">
        <w:rPr>
          <w:rFonts w:ascii="Palatino Linotype" w:hAnsi="Palatino Linotype"/>
          <w:color w:val="auto"/>
          <w:sz w:val="24"/>
          <w:lang w:val="es-CO"/>
        </w:rPr>
        <w:t>q</w:t>
      </w:r>
      <w:r w:rsidR="00FE48D3" w:rsidRPr="00942B99">
        <w:rPr>
          <w:rFonts w:ascii="Palatino Linotype" w:hAnsi="Palatino Linotype"/>
          <w:color w:val="auto"/>
          <w:sz w:val="24"/>
          <w:lang w:val="es-CO"/>
        </w:rPr>
        <w:t>ue</w:t>
      </w:r>
      <w:r w:rsidR="000737DA">
        <w:rPr>
          <w:rFonts w:ascii="Palatino Linotype" w:hAnsi="Palatino Linotype"/>
          <w:color w:val="auto"/>
          <w:sz w:val="24"/>
          <w:lang w:val="es-CO"/>
        </w:rPr>
        <w:t xml:space="preserve"> </w:t>
      </w:r>
      <w:r w:rsidR="00FE48D3" w:rsidRPr="00942B99">
        <w:rPr>
          <w:rFonts w:ascii="Palatino Linotype" w:hAnsi="Palatino Linotype"/>
          <w:color w:val="auto"/>
          <w:sz w:val="24"/>
          <w:lang w:val="es-CO"/>
        </w:rPr>
        <w:t>debe ampliarse el límite de tiempo</w:t>
      </w:r>
      <w:r w:rsidR="001D3DCB" w:rsidRPr="00942B99">
        <w:rPr>
          <w:rFonts w:ascii="Palatino Linotype" w:hAnsi="Palatino Linotype"/>
          <w:color w:val="auto"/>
          <w:sz w:val="24"/>
          <w:lang w:val="es-CO"/>
        </w:rPr>
        <w:t xml:space="preserve"> en los 5 años constitucionalmente posibles</w:t>
      </w:r>
      <w:r w:rsidR="00FE48D3" w:rsidRPr="00942B99">
        <w:rPr>
          <w:rFonts w:ascii="Palatino Linotype" w:hAnsi="Palatino Linotype"/>
          <w:color w:val="auto"/>
          <w:sz w:val="24"/>
          <w:lang w:val="es-CO"/>
        </w:rPr>
        <w:t xml:space="preserve"> para suavizar las pendientes y expandir las curvas</w:t>
      </w:r>
      <w:r w:rsidR="004C3DD8" w:rsidRPr="00942B99">
        <w:rPr>
          <w:rFonts w:ascii="Palatino Linotype" w:hAnsi="Palatino Linotype"/>
          <w:color w:val="auto"/>
          <w:sz w:val="24"/>
          <w:lang w:val="es-CO"/>
        </w:rPr>
        <w:t xml:space="preserve">, </w:t>
      </w:r>
      <w:r w:rsidR="001D3DCB" w:rsidRPr="00942B99">
        <w:rPr>
          <w:rFonts w:ascii="Palatino Linotype" w:hAnsi="Palatino Linotype"/>
          <w:color w:val="auto"/>
          <w:sz w:val="24"/>
          <w:lang w:val="es-CO"/>
        </w:rPr>
        <w:t xml:space="preserve">tal </w:t>
      </w:r>
      <w:r w:rsidR="004C3DD8" w:rsidRPr="00942B99">
        <w:rPr>
          <w:rFonts w:ascii="Palatino Linotype" w:hAnsi="Palatino Linotype"/>
          <w:color w:val="auto"/>
          <w:sz w:val="24"/>
          <w:lang w:val="es-CO"/>
        </w:rPr>
        <w:t>como lo simula la línea verde en la Ilustración 4</w:t>
      </w:r>
      <w:r w:rsidR="00FE48D3" w:rsidRPr="00942B99">
        <w:rPr>
          <w:rFonts w:ascii="Palatino Linotype" w:hAnsi="Palatino Linotype"/>
          <w:color w:val="auto"/>
          <w:sz w:val="24"/>
          <w:lang w:val="es-CO"/>
        </w:rPr>
        <w:t xml:space="preserve">. </w:t>
      </w:r>
    </w:p>
    <w:p w14:paraId="64124ED9" w14:textId="77777777" w:rsidR="00FE48D3" w:rsidRPr="00942B99" w:rsidRDefault="00FE48D3" w:rsidP="00DB3190">
      <w:pPr>
        <w:pStyle w:val="textocorrido"/>
        <w:spacing w:before="0"/>
        <w:jc w:val="both"/>
        <w:rPr>
          <w:rFonts w:ascii="Palatino Linotype" w:hAnsi="Palatino Linotype"/>
          <w:color w:val="auto"/>
          <w:sz w:val="24"/>
          <w:lang w:val="es-CO"/>
        </w:rPr>
      </w:pPr>
    </w:p>
    <w:p w14:paraId="22B52BC4" w14:textId="5303E4A0" w:rsidR="00E21267" w:rsidRPr="00942B99" w:rsidRDefault="00E21267"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 xml:space="preserve">La franja </w:t>
      </w:r>
      <w:r w:rsidR="004C3DD8" w:rsidRPr="00942B99">
        <w:rPr>
          <w:rFonts w:ascii="Palatino Linotype" w:hAnsi="Palatino Linotype"/>
          <w:color w:val="auto"/>
          <w:sz w:val="24"/>
          <w:lang w:val="es-CO"/>
        </w:rPr>
        <w:t xml:space="preserve">por debajo de la línea azul </w:t>
      </w:r>
      <w:r w:rsidRPr="00942B99">
        <w:rPr>
          <w:rFonts w:ascii="Palatino Linotype" w:hAnsi="Palatino Linotype"/>
          <w:color w:val="auto"/>
          <w:sz w:val="24"/>
          <w:lang w:val="es-CO"/>
        </w:rPr>
        <w:t>corresponde al desarrollo de la JEP</w:t>
      </w:r>
      <w:r w:rsidR="006331A6" w:rsidRPr="00942B99">
        <w:rPr>
          <w:rFonts w:ascii="Palatino Linotype" w:hAnsi="Palatino Linotype"/>
          <w:color w:val="auto"/>
          <w:sz w:val="24"/>
          <w:lang w:val="es-CO"/>
        </w:rPr>
        <w:t xml:space="preserve"> y se sobrepone a ella una curva punteada azul que corresponde a los recursos que requiere la Jurisdicción para su desarrollo normal. </w:t>
      </w:r>
      <w:r w:rsidR="005B75F7" w:rsidRPr="00942B99">
        <w:rPr>
          <w:rFonts w:ascii="Palatino Linotype" w:hAnsi="Palatino Linotype"/>
          <w:color w:val="auto"/>
          <w:sz w:val="24"/>
          <w:lang w:val="es-CO"/>
        </w:rPr>
        <w:t>Se entiende, entonces, que estos recursos deben tener el mismo comportamiento para no alterar la dinámica de la JEP.</w:t>
      </w:r>
    </w:p>
    <w:p w14:paraId="3F32ACDE" w14:textId="77777777" w:rsidR="00071E10" w:rsidRPr="00942B99" w:rsidRDefault="00071E10" w:rsidP="00DB3190">
      <w:pPr>
        <w:pStyle w:val="textocorrido"/>
        <w:spacing w:before="0"/>
        <w:jc w:val="both"/>
        <w:rPr>
          <w:rFonts w:ascii="Palatino Linotype" w:hAnsi="Palatino Linotype"/>
          <w:color w:val="auto"/>
          <w:sz w:val="24"/>
          <w:lang w:val="es-CO"/>
        </w:rPr>
      </w:pPr>
    </w:p>
    <w:p w14:paraId="16312B1D" w14:textId="2EB06A08" w:rsidR="000E475B" w:rsidRPr="00942B99" w:rsidRDefault="00631C81"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Con este análisis y e</w:t>
      </w:r>
      <w:r w:rsidR="00501CA2" w:rsidRPr="00942B99">
        <w:rPr>
          <w:rFonts w:ascii="Palatino Linotype" w:hAnsi="Palatino Linotype"/>
          <w:color w:val="auto"/>
          <w:sz w:val="24"/>
          <w:lang w:val="es-CO"/>
        </w:rPr>
        <w:t>n correspondencia con la plataforma estratégica de la JEP, la Jurisdicción también ha venido avanzando</w:t>
      </w:r>
      <w:r w:rsidR="000737DA">
        <w:rPr>
          <w:rFonts w:ascii="Palatino Linotype" w:hAnsi="Palatino Linotype"/>
          <w:color w:val="auto"/>
          <w:sz w:val="24"/>
          <w:lang w:val="es-CO"/>
        </w:rPr>
        <w:t xml:space="preserve"> </w:t>
      </w:r>
      <w:r w:rsidR="008E33CC" w:rsidRPr="00942B99">
        <w:rPr>
          <w:rFonts w:ascii="Palatino Linotype" w:hAnsi="Palatino Linotype"/>
          <w:color w:val="auto"/>
          <w:sz w:val="24"/>
          <w:lang w:val="es-CO"/>
        </w:rPr>
        <w:t xml:space="preserve">en </w:t>
      </w:r>
      <w:r w:rsidRPr="00942B99">
        <w:rPr>
          <w:rFonts w:ascii="Palatino Linotype" w:hAnsi="Palatino Linotype"/>
          <w:color w:val="auto"/>
          <w:sz w:val="24"/>
          <w:lang w:val="es-CO"/>
        </w:rPr>
        <w:t>prospectiva a 2033</w:t>
      </w:r>
      <w:r w:rsidR="002D53D3" w:rsidRPr="00942B99">
        <w:rPr>
          <w:rFonts w:ascii="Palatino Linotype" w:hAnsi="Palatino Linotype"/>
          <w:color w:val="auto"/>
          <w:sz w:val="24"/>
          <w:lang w:val="es-CO"/>
        </w:rPr>
        <w:t>, mediante ejercicio técnico y participativo de los órganos que la integran</w:t>
      </w:r>
      <w:r w:rsidR="008E33CC" w:rsidRPr="00942B99">
        <w:rPr>
          <w:rFonts w:ascii="Palatino Linotype" w:hAnsi="Palatino Linotype"/>
          <w:color w:val="auto"/>
          <w:sz w:val="24"/>
          <w:lang w:val="es-CO"/>
        </w:rPr>
        <w:t xml:space="preserve">. </w:t>
      </w:r>
      <w:r w:rsidR="00346050" w:rsidRPr="00942B99">
        <w:rPr>
          <w:rFonts w:ascii="Palatino Linotype" w:hAnsi="Palatino Linotype"/>
          <w:color w:val="auto"/>
          <w:sz w:val="24"/>
          <w:lang w:val="es-CO"/>
        </w:rPr>
        <w:t>El escenario apuesta</w:t>
      </w:r>
      <w:r w:rsidR="008E33CC" w:rsidRPr="00942B99">
        <w:rPr>
          <w:rFonts w:ascii="Palatino Linotype" w:hAnsi="Palatino Linotype"/>
          <w:color w:val="auto"/>
          <w:sz w:val="24"/>
          <w:lang w:val="es-CO"/>
        </w:rPr>
        <w:t xml:space="preserve"> de la JEP para el 2033 se denomina </w:t>
      </w:r>
      <w:r w:rsidR="00346050" w:rsidRPr="00942B99">
        <w:rPr>
          <w:rFonts w:ascii="Palatino Linotype" w:hAnsi="Palatino Linotype"/>
          <w:color w:val="auto"/>
          <w:sz w:val="24"/>
          <w:lang w:val="es-CO"/>
        </w:rPr>
        <w:t>“</w:t>
      </w:r>
      <w:r w:rsidR="000E475B" w:rsidRPr="00942B99">
        <w:rPr>
          <w:rFonts w:ascii="Palatino Linotype" w:hAnsi="Palatino Linotype"/>
          <w:i/>
          <w:iCs/>
          <w:color w:val="auto"/>
          <w:sz w:val="24"/>
          <w:lang w:val="es-CO"/>
        </w:rPr>
        <w:t>Huella en Justicia Especial”,</w:t>
      </w:r>
      <w:r w:rsidR="000E475B" w:rsidRPr="00942B99">
        <w:rPr>
          <w:rFonts w:ascii="Palatino Linotype" w:hAnsi="Palatino Linotype"/>
          <w:color w:val="auto"/>
          <w:sz w:val="24"/>
          <w:lang w:val="es-CO"/>
        </w:rPr>
        <w:t xml:space="preserve"> nombre que involucra no solo el logro de sus objetivos sino la </w:t>
      </w:r>
      <w:r w:rsidR="001D3DCB" w:rsidRPr="00942B99">
        <w:rPr>
          <w:rFonts w:ascii="Palatino Linotype" w:hAnsi="Palatino Linotype"/>
          <w:color w:val="auto"/>
          <w:sz w:val="24"/>
          <w:lang w:val="es-CO"/>
        </w:rPr>
        <w:t>consolidación y apropiación social</w:t>
      </w:r>
      <w:r w:rsidR="000E475B" w:rsidRPr="00942B99">
        <w:rPr>
          <w:rFonts w:ascii="Palatino Linotype" w:hAnsi="Palatino Linotype"/>
          <w:color w:val="auto"/>
          <w:sz w:val="24"/>
          <w:lang w:val="es-CO"/>
        </w:rPr>
        <w:t xml:space="preserve"> de jurisprudencia en el campo de la justicia transicional.</w:t>
      </w:r>
      <w:r w:rsidR="000737DA">
        <w:rPr>
          <w:rFonts w:ascii="Palatino Linotype" w:hAnsi="Palatino Linotype"/>
          <w:color w:val="auto"/>
          <w:sz w:val="24"/>
          <w:lang w:val="es-CO"/>
        </w:rPr>
        <w:t xml:space="preserve"> </w:t>
      </w:r>
    </w:p>
    <w:p w14:paraId="2D67F1E8" w14:textId="77777777" w:rsidR="00DF4479" w:rsidRPr="00942B99" w:rsidRDefault="00DF4479" w:rsidP="00DB3190">
      <w:pPr>
        <w:pStyle w:val="textocorrido"/>
        <w:spacing w:before="0"/>
        <w:jc w:val="both"/>
        <w:rPr>
          <w:color w:val="auto"/>
          <w:sz w:val="24"/>
          <w:lang w:val="es-CO"/>
        </w:rPr>
      </w:pPr>
    </w:p>
    <w:p w14:paraId="774FBABE" w14:textId="2895C562" w:rsidR="000E475B" w:rsidRPr="00942B99" w:rsidRDefault="000E475B" w:rsidP="00DB3190">
      <w:pPr>
        <w:pStyle w:val="textocorrido"/>
        <w:spacing w:before="0"/>
        <w:jc w:val="both"/>
        <w:rPr>
          <w:rFonts w:ascii="Palatino Linotype" w:eastAsia="Yu Gothic" w:hAnsi="Palatino Linotype"/>
          <w:color w:val="auto"/>
          <w:sz w:val="24"/>
          <w:lang w:val="es-CO"/>
        </w:rPr>
      </w:pPr>
      <w:r w:rsidRPr="00942B99">
        <w:rPr>
          <w:rFonts w:ascii="Palatino Linotype" w:eastAsia="Yu Gothic" w:hAnsi="Palatino Linotype"/>
          <w:color w:val="auto"/>
          <w:sz w:val="24"/>
          <w:lang w:val="es-CO"/>
        </w:rPr>
        <w:t xml:space="preserve">El derrotero del futuro que ha emprendido la Jurisdicción está basado en la transformación de los fenómenos que constituyen </w:t>
      </w:r>
      <w:r w:rsidR="001D3DCB" w:rsidRPr="00942B99">
        <w:rPr>
          <w:rFonts w:ascii="Palatino Linotype" w:eastAsia="Yu Gothic" w:hAnsi="Palatino Linotype"/>
          <w:color w:val="auto"/>
          <w:sz w:val="24"/>
          <w:lang w:val="es-CO"/>
        </w:rPr>
        <w:t>bases</w:t>
      </w:r>
      <w:r w:rsidRPr="00942B99">
        <w:rPr>
          <w:rFonts w:ascii="Palatino Linotype" w:eastAsia="Yu Gothic" w:hAnsi="Palatino Linotype"/>
          <w:color w:val="auto"/>
          <w:sz w:val="24"/>
          <w:lang w:val="es-CO"/>
        </w:rPr>
        <w:t xml:space="preserve"> del presente, a saber: su</w:t>
      </w:r>
      <w:r w:rsidR="00436EF3" w:rsidRPr="00942B99">
        <w:rPr>
          <w:rFonts w:ascii="Palatino Linotype" w:eastAsia="Yu Gothic" w:hAnsi="Palatino Linotype"/>
          <w:color w:val="auto"/>
          <w:sz w:val="24"/>
          <w:lang w:val="es-CO"/>
        </w:rPr>
        <w:t xml:space="preserve"> fortalecimiento institucional, </w:t>
      </w:r>
      <w:r w:rsidRPr="00942B99">
        <w:rPr>
          <w:rFonts w:ascii="Palatino Linotype" w:eastAsia="Yu Gothic" w:hAnsi="Palatino Linotype"/>
          <w:color w:val="auto"/>
          <w:sz w:val="24"/>
          <w:lang w:val="es-CO"/>
        </w:rPr>
        <w:t>el seguimiento en los territorios y la participación de las víctimas, con lo cual se irá a facilitar logros en investigación, juzgamiento y sanciones para procurar la consecución de una paz estable y duradera. Los mejores árbitros del desempeño de estos fenómenos serán la opinión pública y la huella que se dejará por medio de la jurisprudencia.</w:t>
      </w:r>
    </w:p>
    <w:p w14:paraId="74592E39" w14:textId="11A98384" w:rsidR="00AB2E5C" w:rsidRPr="00942B99" w:rsidRDefault="00AB2E5C" w:rsidP="00DB3190">
      <w:pPr>
        <w:jc w:val="both"/>
        <w:rPr>
          <w:rFonts w:cs="Arial"/>
          <w:lang w:val="es-CO"/>
        </w:rPr>
      </w:pPr>
      <w:r w:rsidRPr="00942B99">
        <w:rPr>
          <w:rFonts w:cs="Arial"/>
          <w:lang w:val="es-CO"/>
        </w:rPr>
        <w:t>En otras palabras, el camino del presente al futuro</w:t>
      </w:r>
      <w:r w:rsidR="002D53D3" w:rsidRPr="00942B99">
        <w:rPr>
          <w:rFonts w:cs="Arial"/>
          <w:lang w:val="es-CO"/>
        </w:rPr>
        <w:t xml:space="preserve"> de largo plazo (2033)</w:t>
      </w:r>
      <w:r w:rsidRPr="00942B99">
        <w:rPr>
          <w:rFonts w:cs="Arial"/>
          <w:lang w:val="es-CO"/>
        </w:rPr>
        <w:t xml:space="preserve"> supone la adopción de unas estrategias, que se han definido como la sumatoria de unas metas y unas acciones. A su vez, las acciones, deberán ser convertidas en proyectos, que demandan el apoyo de los actores sociales involucrados y grupos de interés. </w:t>
      </w:r>
      <w:r w:rsidR="00BA5227" w:rsidRPr="00942B99">
        <w:rPr>
          <w:rFonts w:cs="Arial"/>
          <w:lang w:val="es-CO"/>
        </w:rPr>
        <w:t>L</w:t>
      </w:r>
      <w:r w:rsidRPr="00942B99">
        <w:rPr>
          <w:rFonts w:cs="Arial"/>
          <w:lang w:val="es-CO"/>
        </w:rPr>
        <w:t>as estrategias, las metas y los proyectos que permitirán la construcción de este escenario “apuesta”,</w:t>
      </w:r>
      <w:r w:rsidR="00BA5227" w:rsidRPr="00942B99">
        <w:rPr>
          <w:rFonts w:cs="Arial"/>
          <w:lang w:val="es-CO"/>
        </w:rPr>
        <w:t xml:space="preserve"> </w:t>
      </w:r>
      <w:r w:rsidR="00F35CC0" w:rsidRPr="00942B99">
        <w:rPr>
          <w:rFonts w:cs="Arial"/>
          <w:lang w:val="es-CO"/>
        </w:rPr>
        <w:t>son los siguientes:</w:t>
      </w:r>
    </w:p>
    <w:p w14:paraId="18BB0CFC" w14:textId="77777777" w:rsidR="00F35CC0" w:rsidRPr="00942B99" w:rsidRDefault="00F35CC0" w:rsidP="00DB3190">
      <w:pPr>
        <w:jc w:val="both"/>
        <w:rPr>
          <w:rFonts w:cs="Arial"/>
          <w:lang w:val="es-CO"/>
        </w:rPr>
      </w:pPr>
    </w:p>
    <w:p w14:paraId="421CBCD0" w14:textId="77777777" w:rsidR="00B17E11" w:rsidRDefault="00334249" w:rsidP="00B17E11">
      <w:pPr>
        <w:pStyle w:val="Prrafodelista"/>
        <w:numPr>
          <w:ilvl w:val="0"/>
          <w:numId w:val="33"/>
        </w:numPr>
        <w:jc w:val="both"/>
        <w:rPr>
          <w:rFonts w:cs="Arial"/>
          <w:lang w:val="es-CO"/>
        </w:rPr>
      </w:pPr>
      <w:r w:rsidRPr="00942B99">
        <w:rPr>
          <w:rFonts w:cs="Arial"/>
          <w:b/>
          <w:lang w:val="es-CO"/>
        </w:rPr>
        <w:t xml:space="preserve">Estrategia 1: </w:t>
      </w:r>
      <w:r w:rsidR="002D53D3" w:rsidRPr="00942B99">
        <w:rPr>
          <w:rFonts w:cs="Arial"/>
          <w:bCs/>
          <w:lang w:val="es-CO"/>
        </w:rPr>
        <w:t>Justicia digital como el d</w:t>
      </w:r>
      <w:r w:rsidRPr="00942B99">
        <w:rPr>
          <w:rFonts w:cs="Arial"/>
          <w:lang w:val="es-CO"/>
        </w:rPr>
        <w:t xml:space="preserve">esarrollo de tecnologías digitales e "inteligentes" que apoyen el trabajo de la JEP, cuya </w:t>
      </w:r>
      <w:r w:rsidRPr="00942B99">
        <w:rPr>
          <w:rFonts w:cs="Arial"/>
          <w:b/>
          <w:lang w:val="es-CO"/>
        </w:rPr>
        <w:t>meta</w:t>
      </w:r>
      <w:r w:rsidRPr="00942B99">
        <w:rPr>
          <w:rFonts w:cs="Arial"/>
          <w:lang w:val="es-CO"/>
        </w:rPr>
        <w:t xml:space="preserve"> consiste en adoptar las tecnologías elegidas en el estudio de “Inteligencia Tecnológica” y ponerlas al servicio de la justicia digital en la JEP. Su implementación se realizaría a través de un </w:t>
      </w:r>
      <w:r w:rsidR="00B06D0B" w:rsidRPr="00942B99">
        <w:rPr>
          <w:rFonts w:cs="Arial"/>
          <w:b/>
          <w:lang w:val="es-CO"/>
        </w:rPr>
        <w:t>proyecto</w:t>
      </w:r>
      <w:r w:rsidR="00B06D0B" w:rsidRPr="00942B99">
        <w:rPr>
          <w:rFonts w:cs="Arial"/>
          <w:lang w:val="es-CO"/>
        </w:rPr>
        <w:t xml:space="preserve"> </w:t>
      </w:r>
      <w:r w:rsidR="00432960" w:rsidRPr="00942B99">
        <w:rPr>
          <w:rFonts w:cs="Arial"/>
          <w:b/>
          <w:lang w:val="es-CO"/>
        </w:rPr>
        <w:t xml:space="preserve">estratégico </w:t>
      </w:r>
      <w:r w:rsidR="00B06D0B" w:rsidRPr="00942B99">
        <w:rPr>
          <w:rFonts w:cs="Arial"/>
          <w:lang w:val="es-CO"/>
        </w:rPr>
        <w:t>denominado “A</w:t>
      </w:r>
      <w:r w:rsidRPr="00942B99">
        <w:rPr>
          <w:rFonts w:cs="Arial"/>
          <w:lang w:val="es-CO"/>
        </w:rPr>
        <w:t>dopción de nuevas tecnologías dentro de la estrategia de TI”, con un tiempo estimad de duración de 6 años.</w:t>
      </w:r>
    </w:p>
    <w:p w14:paraId="521A764A" w14:textId="6384584B" w:rsidR="00942B99" w:rsidRPr="00B17E11" w:rsidRDefault="00B06D0B" w:rsidP="00B17E11">
      <w:pPr>
        <w:pStyle w:val="Prrafodelista"/>
        <w:numPr>
          <w:ilvl w:val="0"/>
          <w:numId w:val="33"/>
        </w:numPr>
        <w:jc w:val="both"/>
        <w:rPr>
          <w:rFonts w:cs="Arial"/>
          <w:lang w:val="es-CO"/>
        </w:rPr>
      </w:pPr>
      <w:r w:rsidRPr="00B17E11">
        <w:rPr>
          <w:rFonts w:cs="Arial"/>
          <w:b/>
          <w:lang w:val="es-CO"/>
        </w:rPr>
        <w:lastRenderedPageBreak/>
        <w:t>Estrategia 2:</w:t>
      </w:r>
      <w:r w:rsidRPr="00B17E11">
        <w:rPr>
          <w:rFonts w:cs="Arial"/>
          <w:lang w:val="es-CO"/>
        </w:rPr>
        <w:t xml:space="preserve"> </w:t>
      </w:r>
      <w:r w:rsidR="009174A8" w:rsidRPr="00B17E11">
        <w:rPr>
          <w:rFonts w:cs="Arial"/>
          <w:lang w:val="es-CO"/>
        </w:rPr>
        <w:t xml:space="preserve">Modelo de Justicia Especial para investigar, juzgar y sancionar a los máximos responsables de los crímenes más representativos ocurridos en el conflicto armado, cuya </w:t>
      </w:r>
      <w:r w:rsidR="009174A8" w:rsidRPr="00B17E11">
        <w:rPr>
          <w:rFonts w:cs="Arial"/>
          <w:b/>
          <w:lang w:val="es-CO"/>
        </w:rPr>
        <w:t>meta</w:t>
      </w:r>
      <w:r w:rsidR="009174A8" w:rsidRPr="00B17E11">
        <w:rPr>
          <w:rFonts w:cs="Arial"/>
          <w:lang w:val="es-CO"/>
        </w:rPr>
        <w:t xml:space="preserve"> </w:t>
      </w:r>
      <w:r w:rsidR="00432960" w:rsidRPr="00B17E11">
        <w:rPr>
          <w:rFonts w:cs="Arial"/>
          <w:lang w:val="es-CO"/>
        </w:rPr>
        <w:t>consistiría</w:t>
      </w:r>
      <w:r w:rsidR="009174A8" w:rsidRPr="00B17E11">
        <w:rPr>
          <w:rFonts w:cs="Arial"/>
          <w:lang w:val="es-CO"/>
        </w:rPr>
        <w:t xml:space="preserve"> en lograr investigar, juzgar y sancionar al menos al 80% de los máximos responsables sometidos a la JEP frente a los crímenes más representativos en el conflicto armado. Su implementaci</w:t>
      </w:r>
      <w:r w:rsidR="00A255AB" w:rsidRPr="00B17E11">
        <w:rPr>
          <w:rFonts w:cs="Arial"/>
          <w:lang w:val="es-CO"/>
        </w:rPr>
        <w:t>ón demanda 3</w:t>
      </w:r>
      <w:r w:rsidR="009174A8" w:rsidRPr="00B17E11">
        <w:rPr>
          <w:rFonts w:cs="Arial"/>
          <w:lang w:val="es-CO"/>
        </w:rPr>
        <w:t xml:space="preserve"> </w:t>
      </w:r>
      <w:r w:rsidR="009174A8" w:rsidRPr="00B17E11">
        <w:rPr>
          <w:rFonts w:cs="Arial"/>
          <w:b/>
          <w:lang w:val="es-CO"/>
        </w:rPr>
        <w:t>proyecto</w:t>
      </w:r>
      <w:r w:rsidR="00A255AB" w:rsidRPr="00B17E11">
        <w:rPr>
          <w:rFonts w:cs="Arial"/>
          <w:b/>
          <w:lang w:val="es-CO"/>
        </w:rPr>
        <w:t xml:space="preserve">s estratégicos </w:t>
      </w:r>
      <w:r w:rsidR="00A255AB" w:rsidRPr="00B17E11">
        <w:rPr>
          <w:rFonts w:cs="Arial"/>
          <w:lang w:val="es-CO"/>
        </w:rPr>
        <w:t>con duración perm</w:t>
      </w:r>
      <w:r w:rsidR="00432960" w:rsidRPr="00B17E11">
        <w:rPr>
          <w:rFonts w:cs="Arial"/>
          <w:lang w:val="es-CO"/>
        </w:rPr>
        <w:t>an</w:t>
      </w:r>
      <w:r w:rsidR="00A255AB" w:rsidRPr="00B17E11">
        <w:rPr>
          <w:rFonts w:cs="Arial"/>
          <w:lang w:val="es-CO"/>
        </w:rPr>
        <w:t>ente</w:t>
      </w:r>
      <w:r w:rsidR="00A255AB" w:rsidRPr="00B17E11">
        <w:rPr>
          <w:rFonts w:cs="Arial"/>
          <w:b/>
          <w:lang w:val="es-CO"/>
        </w:rPr>
        <w:t>,</w:t>
      </w:r>
      <w:r w:rsidR="009174A8" w:rsidRPr="00B17E11">
        <w:rPr>
          <w:rFonts w:cs="Arial"/>
          <w:lang w:val="es-CO"/>
        </w:rPr>
        <w:t xml:space="preserve"> denominado</w:t>
      </w:r>
      <w:r w:rsidR="00A255AB" w:rsidRPr="00B17E11">
        <w:rPr>
          <w:rFonts w:cs="Arial"/>
          <w:lang w:val="es-CO"/>
        </w:rPr>
        <w:t>s “A</w:t>
      </w:r>
      <w:r w:rsidR="009174A8" w:rsidRPr="00B17E11">
        <w:rPr>
          <w:rFonts w:cs="Arial"/>
          <w:lang w:val="es-CO"/>
        </w:rPr>
        <w:t xml:space="preserve">ctualizar e </w:t>
      </w:r>
      <w:r w:rsidR="002D53D3" w:rsidRPr="00B17E11">
        <w:rPr>
          <w:rFonts w:cs="Arial"/>
          <w:lang w:val="es-CO"/>
        </w:rPr>
        <w:t>i</w:t>
      </w:r>
      <w:r w:rsidR="009174A8" w:rsidRPr="00B17E11">
        <w:rPr>
          <w:rFonts w:cs="Arial"/>
          <w:lang w:val="es-CO"/>
        </w:rPr>
        <w:t>mplementar los lineamientos de selección y priorización de casos</w:t>
      </w:r>
      <w:r w:rsidR="00A255AB" w:rsidRPr="00B17E11">
        <w:rPr>
          <w:rFonts w:cs="Arial"/>
          <w:lang w:val="es-CO"/>
        </w:rPr>
        <w:t>”, “</w:t>
      </w:r>
      <w:r w:rsidR="009174A8" w:rsidRPr="00B17E11">
        <w:rPr>
          <w:rFonts w:cs="Arial"/>
          <w:lang w:val="es-CO"/>
        </w:rPr>
        <w:t>Diseñar e implementar el sistema de descuento de sanción propia</w:t>
      </w:r>
      <w:r w:rsidR="00A255AB" w:rsidRPr="00B17E11">
        <w:rPr>
          <w:rFonts w:cs="Arial"/>
          <w:lang w:val="es-CO"/>
        </w:rPr>
        <w:t>”, “</w:t>
      </w:r>
      <w:r w:rsidR="009174A8" w:rsidRPr="00B17E11">
        <w:rPr>
          <w:rFonts w:cs="Arial"/>
          <w:lang w:val="es-CO"/>
        </w:rPr>
        <w:t>Implementar el régimen de condicionalidad</w:t>
      </w:r>
      <w:r w:rsidR="00A255AB" w:rsidRPr="00B17E11">
        <w:rPr>
          <w:rFonts w:cs="Arial"/>
          <w:lang w:val="es-CO"/>
        </w:rPr>
        <w:t xml:space="preserve">”. </w:t>
      </w:r>
    </w:p>
    <w:p w14:paraId="5D8EF2D5" w14:textId="77777777" w:rsidR="00B17E11" w:rsidRPr="00B17E11" w:rsidRDefault="00B17E11" w:rsidP="00B17E11">
      <w:pPr>
        <w:pStyle w:val="Prrafodelista"/>
        <w:jc w:val="both"/>
        <w:rPr>
          <w:rFonts w:cs="Arial"/>
          <w:lang w:val="es-CO"/>
        </w:rPr>
      </w:pPr>
    </w:p>
    <w:p w14:paraId="33D2AF48" w14:textId="5C38D0AB" w:rsidR="00AD553D" w:rsidRPr="00942B99" w:rsidRDefault="00AD553D" w:rsidP="00DB3190">
      <w:pPr>
        <w:pStyle w:val="Prrafodelista"/>
        <w:numPr>
          <w:ilvl w:val="0"/>
          <w:numId w:val="33"/>
        </w:numPr>
        <w:jc w:val="both"/>
        <w:rPr>
          <w:rFonts w:cs="Arial"/>
          <w:lang w:val="es-CO"/>
        </w:rPr>
      </w:pPr>
      <w:r w:rsidRPr="00942B99">
        <w:rPr>
          <w:rFonts w:cs="Arial"/>
          <w:b/>
          <w:lang w:val="es-CO"/>
        </w:rPr>
        <w:t>Estrategia 3:</w:t>
      </w:r>
      <w:r w:rsidRPr="00942B99">
        <w:rPr>
          <w:rFonts w:cs="Arial"/>
          <w:lang w:val="es-CO"/>
        </w:rPr>
        <w:t xml:space="preserve"> Articulación entre las uni</w:t>
      </w:r>
      <w:r w:rsidR="00966945" w:rsidRPr="00942B99">
        <w:rPr>
          <w:rFonts w:cs="Arial"/>
          <w:lang w:val="es-CO"/>
        </w:rPr>
        <w:t>dades y dependencias de la JEP, para colaborar</w:t>
      </w:r>
      <w:r w:rsidRPr="00942B99">
        <w:rPr>
          <w:rFonts w:cs="Arial"/>
          <w:lang w:val="es-CO"/>
        </w:rPr>
        <w:t xml:space="preserve"> armónica</w:t>
      </w:r>
      <w:r w:rsidR="00966945" w:rsidRPr="00942B99">
        <w:rPr>
          <w:rFonts w:cs="Arial"/>
          <w:lang w:val="es-CO"/>
        </w:rPr>
        <w:t>mente</w:t>
      </w:r>
      <w:r w:rsidRPr="00942B99">
        <w:rPr>
          <w:rFonts w:cs="Arial"/>
          <w:lang w:val="es-CO"/>
        </w:rPr>
        <w:t xml:space="preserve"> en torno a la misión y desafíos institucionales frente a los crímenes más representativos oc</w:t>
      </w:r>
      <w:r w:rsidR="00966945" w:rsidRPr="00942B99">
        <w:rPr>
          <w:rFonts w:cs="Arial"/>
          <w:lang w:val="es-CO"/>
        </w:rPr>
        <w:t xml:space="preserve">urridos en el conflicto armado, cuya </w:t>
      </w:r>
      <w:r w:rsidR="00966945" w:rsidRPr="00942B99">
        <w:rPr>
          <w:rFonts w:cs="Arial"/>
          <w:b/>
          <w:lang w:val="es-CO"/>
        </w:rPr>
        <w:t>meta</w:t>
      </w:r>
      <w:r w:rsidR="00966945" w:rsidRPr="00942B99">
        <w:rPr>
          <w:rFonts w:cs="Arial"/>
          <w:lang w:val="es-CO"/>
        </w:rPr>
        <w:t xml:space="preserve"> consistiría en o</w:t>
      </w:r>
      <w:r w:rsidRPr="00942B99">
        <w:rPr>
          <w:rFonts w:cs="Arial"/>
          <w:lang w:val="es-CO"/>
        </w:rPr>
        <w:t>btener una cultura interna de mutua colaboración entre unidades y dependencias que sea exitosa en más del 90% de los casos.</w:t>
      </w:r>
      <w:r w:rsidR="00966945" w:rsidRPr="00942B99">
        <w:rPr>
          <w:rFonts w:cs="Arial"/>
          <w:lang w:val="es-CO"/>
        </w:rPr>
        <w:t xml:space="preserve"> Su implementación se realizaría a través de un </w:t>
      </w:r>
      <w:r w:rsidR="00966945" w:rsidRPr="00942B99">
        <w:rPr>
          <w:rFonts w:cs="Arial"/>
          <w:b/>
          <w:lang w:val="es-CO"/>
        </w:rPr>
        <w:t>proyecto estratégico</w:t>
      </w:r>
      <w:r w:rsidR="00966945" w:rsidRPr="00942B99">
        <w:rPr>
          <w:rFonts w:cs="Arial"/>
          <w:lang w:val="es-CO"/>
        </w:rPr>
        <w:t xml:space="preserve"> denominado “</w:t>
      </w:r>
      <w:r w:rsidRPr="00942B99">
        <w:rPr>
          <w:rFonts w:cs="Arial"/>
          <w:lang w:val="es-CO"/>
        </w:rPr>
        <w:t>Diseñar e implementar el modelo de gestión del conocimiento de la JEP</w:t>
      </w:r>
      <w:r w:rsidR="00966945" w:rsidRPr="00942B99">
        <w:rPr>
          <w:rFonts w:cs="Arial"/>
          <w:lang w:val="es-CO"/>
        </w:rPr>
        <w:t xml:space="preserve">, con duración permanente. </w:t>
      </w:r>
    </w:p>
    <w:p w14:paraId="0AAA1D85" w14:textId="77777777" w:rsidR="00942B99" w:rsidRPr="00942B99" w:rsidRDefault="00942B99" w:rsidP="006A1B70">
      <w:pPr>
        <w:pStyle w:val="Prrafodelista"/>
        <w:jc w:val="both"/>
        <w:rPr>
          <w:rFonts w:cs="Arial"/>
          <w:lang w:val="es-CO"/>
        </w:rPr>
      </w:pPr>
    </w:p>
    <w:p w14:paraId="6263BA71" w14:textId="3B3B3249" w:rsidR="0030560E" w:rsidRPr="00942B99" w:rsidRDefault="00966945" w:rsidP="00DB3190">
      <w:pPr>
        <w:pStyle w:val="Prrafodelista"/>
        <w:numPr>
          <w:ilvl w:val="0"/>
          <w:numId w:val="33"/>
        </w:numPr>
        <w:jc w:val="both"/>
        <w:rPr>
          <w:rFonts w:eastAsia="Yu Gothic"/>
          <w:lang w:val="es-CO"/>
        </w:rPr>
      </w:pPr>
      <w:r w:rsidRPr="00942B99">
        <w:rPr>
          <w:rFonts w:cs="Arial"/>
          <w:b/>
          <w:lang w:val="es-CO"/>
        </w:rPr>
        <w:t>Estrategia 4</w:t>
      </w:r>
      <w:r w:rsidR="0030560E" w:rsidRPr="00942B99">
        <w:rPr>
          <w:rFonts w:cs="Arial"/>
          <w:b/>
          <w:lang w:val="es-CO"/>
        </w:rPr>
        <w:t>:</w:t>
      </w:r>
      <w:r w:rsidR="0030560E" w:rsidRPr="00942B99">
        <w:rPr>
          <w:lang w:val="es-CO"/>
        </w:rPr>
        <w:t xml:space="preserve"> </w:t>
      </w:r>
      <w:r w:rsidR="0030560E" w:rsidRPr="00942B99">
        <w:rPr>
          <w:rFonts w:cs="Arial"/>
          <w:lang w:val="es-CO"/>
        </w:rPr>
        <w:t xml:space="preserve">Articulación y relacionamiento interinstitucional. Colaboración armónica con las instituciones externas, cuya </w:t>
      </w:r>
      <w:r w:rsidR="0030560E" w:rsidRPr="00942B99">
        <w:rPr>
          <w:rFonts w:cs="Arial"/>
          <w:b/>
          <w:lang w:val="es-CO"/>
        </w:rPr>
        <w:t>meta</w:t>
      </w:r>
      <w:r w:rsidR="0030560E" w:rsidRPr="00942B99">
        <w:rPr>
          <w:rFonts w:cs="Arial"/>
          <w:lang w:val="es-CO"/>
        </w:rPr>
        <w:t xml:space="preserve"> consistiría en lograr que las instituciones concernidas participen y culminen con éxito al menos el 90% de las iniciativas interinstitucionales. Su implementación se realizaría a través de 2 </w:t>
      </w:r>
      <w:r w:rsidR="0030560E" w:rsidRPr="00942B99">
        <w:rPr>
          <w:rFonts w:cs="Arial"/>
          <w:b/>
          <w:lang w:val="es-CO"/>
        </w:rPr>
        <w:t>proyectos estratégicos</w:t>
      </w:r>
      <w:r w:rsidR="0030560E" w:rsidRPr="00942B99">
        <w:rPr>
          <w:rFonts w:cs="Arial"/>
          <w:lang w:val="es-CO"/>
        </w:rPr>
        <w:t xml:space="preserve"> denominados “Definir e implementar el modelo de cooperación de la Justicia Especial” y “Lograr la articulación interinstitucional efectiva con actores claves de la JEP”, ambos con duración permanente. </w:t>
      </w:r>
    </w:p>
    <w:p w14:paraId="6904F27C" w14:textId="77777777" w:rsidR="00942B99" w:rsidRPr="00942B99" w:rsidRDefault="00942B99" w:rsidP="006A1B70">
      <w:pPr>
        <w:pStyle w:val="Prrafodelista"/>
        <w:jc w:val="both"/>
        <w:rPr>
          <w:rFonts w:eastAsia="Yu Gothic"/>
          <w:lang w:val="es-CO"/>
        </w:rPr>
      </w:pPr>
    </w:p>
    <w:p w14:paraId="541CDADA" w14:textId="7DD76253" w:rsidR="0038074A" w:rsidRPr="00942B99" w:rsidRDefault="0038074A" w:rsidP="00DB3190">
      <w:pPr>
        <w:pStyle w:val="Prrafodelista"/>
        <w:numPr>
          <w:ilvl w:val="0"/>
          <w:numId w:val="33"/>
        </w:numPr>
        <w:jc w:val="both"/>
        <w:rPr>
          <w:rFonts w:eastAsia="Yu Gothic"/>
          <w:lang w:val="es-CO"/>
        </w:rPr>
      </w:pPr>
      <w:r w:rsidRPr="00942B99">
        <w:rPr>
          <w:rFonts w:cs="Arial"/>
          <w:b/>
          <w:lang w:val="es-CO"/>
        </w:rPr>
        <w:t xml:space="preserve">Estrategia 5: </w:t>
      </w:r>
      <w:r w:rsidR="00663041" w:rsidRPr="00942B99">
        <w:rPr>
          <w:rFonts w:cs="Arial"/>
          <w:lang w:val="es-CO"/>
        </w:rPr>
        <w:t xml:space="preserve">Gestión del riesgo (Sistema de gestión, control y evaluación) para minimizar el riesgo frente al incumplimiento de los objetivos de desempeño institucionales, cuya </w:t>
      </w:r>
      <w:r w:rsidR="00663041" w:rsidRPr="00942B99">
        <w:rPr>
          <w:rFonts w:cs="Arial"/>
          <w:b/>
          <w:lang w:val="es-CO"/>
        </w:rPr>
        <w:t>meta</w:t>
      </w:r>
      <w:r w:rsidR="00663041" w:rsidRPr="00942B99">
        <w:rPr>
          <w:rFonts w:cs="Arial"/>
          <w:lang w:val="es-CO"/>
        </w:rPr>
        <w:t xml:space="preserve"> consistiría en lograr controlar al menos el 90% de los riesgos que pueden afectar la misionalidad de la Institución. Su implementación se lograría a través de un </w:t>
      </w:r>
      <w:r w:rsidR="00663041" w:rsidRPr="00942B99">
        <w:rPr>
          <w:rFonts w:cs="Arial"/>
          <w:b/>
          <w:lang w:val="es-CO"/>
        </w:rPr>
        <w:t>proyecto estratégico</w:t>
      </w:r>
      <w:r w:rsidR="00663041" w:rsidRPr="00942B99">
        <w:rPr>
          <w:rFonts w:cs="Arial"/>
          <w:lang w:val="es-CO"/>
        </w:rPr>
        <w:t xml:space="preserve"> que se denominaría “Definir e implementar la gestión del riesgo en la JEP”</w:t>
      </w:r>
      <w:r w:rsidR="004C3DD8" w:rsidRPr="00942B99">
        <w:rPr>
          <w:rFonts w:cs="Arial"/>
          <w:lang w:val="es-CO"/>
        </w:rPr>
        <w:t xml:space="preserve">, </w:t>
      </w:r>
      <w:r w:rsidR="00663041" w:rsidRPr="00942B99">
        <w:rPr>
          <w:rFonts w:cs="Arial"/>
          <w:lang w:val="es-CO"/>
        </w:rPr>
        <w:t>con duración permanente.</w:t>
      </w:r>
    </w:p>
    <w:p w14:paraId="4AE3FDD7" w14:textId="77777777" w:rsidR="00942B99" w:rsidRPr="00942B99" w:rsidRDefault="00942B99" w:rsidP="006A1B70">
      <w:pPr>
        <w:pStyle w:val="Prrafodelista"/>
        <w:jc w:val="both"/>
        <w:rPr>
          <w:rFonts w:eastAsia="Yu Gothic"/>
          <w:lang w:val="es-CO"/>
        </w:rPr>
      </w:pPr>
    </w:p>
    <w:p w14:paraId="672C1B38" w14:textId="278E0C54" w:rsidR="00663041" w:rsidRPr="00942B99" w:rsidRDefault="00663041" w:rsidP="00DB3190">
      <w:pPr>
        <w:pStyle w:val="Prrafodelista"/>
        <w:numPr>
          <w:ilvl w:val="0"/>
          <w:numId w:val="33"/>
        </w:numPr>
        <w:jc w:val="both"/>
        <w:rPr>
          <w:rFonts w:eastAsia="Yu Gothic"/>
          <w:lang w:val="es-CO"/>
        </w:rPr>
      </w:pPr>
      <w:r w:rsidRPr="00942B99">
        <w:rPr>
          <w:rFonts w:cs="Arial"/>
          <w:b/>
          <w:lang w:val="es-CO"/>
        </w:rPr>
        <w:t>Estrategia 6:</w:t>
      </w:r>
      <w:r w:rsidRPr="00942B99">
        <w:rPr>
          <w:rFonts w:eastAsia="Yu Gothic"/>
          <w:lang w:val="es-CO"/>
        </w:rPr>
        <w:t xml:space="preserve"> </w:t>
      </w:r>
      <w:r w:rsidR="008F1ABE" w:rsidRPr="00942B99">
        <w:rPr>
          <w:rFonts w:eastAsia="Yu Gothic"/>
          <w:lang w:val="es-CO"/>
        </w:rPr>
        <w:t xml:space="preserve">Imagen y visibilidad para lograr el reconocimiento, confianza y legitimidad por parte de la sociedad, cuya </w:t>
      </w:r>
      <w:r w:rsidR="008F1ABE" w:rsidRPr="00942B99">
        <w:rPr>
          <w:rFonts w:eastAsia="Yu Gothic"/>
          <w:b/>
          <w:lang w:val="es-CO"/>
        </w:rPr>
        <w:t>meta</w:t>
      </w:r>
      <w:r w:rsidR="008F1ABE" w:rsidRPr="00942B99">
        <w:rPr>
          <w:rFonts w:eastAsia="Yu Gothic"/>
          <w:lang w:val="es-CO"/>
        </w:rPr>
        <w:t xml:space="preserve"> consistiría en estar posicionada entre las 10 primeras instituciones del estado de mayor confianza. Su implementación se lograría a través de dos </w:t>
      </w:r>
      <w:r w:rsidR="008F1ABE" w:rsidRPr="00942B99">
        <w:rPr>
          <w:rFonts w:eastAsia="Yu Gothic"/>
          <w:b/>
          <w:lang w:val="es-CO"/>
        </w:rPr>
        <w:t>proyectos estratégicos</w:t>
      </w:r>
      <w:r w:rsidR="008F1ABE" w:rsidRPr="00942B99">
        <w:rPr>
          <w:rFonts w:eastAsia="Yu Gothic"/>
          <w:lang w:val="es-CO"/>
        </w:rPr>
        <w:t xml:space="preserve"> denominados “Formular y ejecutar un plan estratégico de comunicación focalizado y diferencial”, con duración permanente, y “Realizar una evaluación independiente de la JEP”, con duración entre 2022 y 2026.</w:t>
      </w:r>
    </w:p>
    <w:p w14:paraId="0F7BC996" w14:textId="77777777" w:rsidR="00942B99" w:rsidRPr="00942B99" w:rsidRDefault="00942B99" w:rsidP="006A1B70">
      <w:pPr>
        <w:pStyle w:val="Prrafodelista"/>
        <w:jc w:val="both"/>
        <w:rPr>
          <w:rFonts w:eastAsia="Yu Gothic"/>
          <w:lang w:val="es-CO"/>
        </w:rPr>
      </w:pPr>
    </w:p>
    <w:p w14:paraId="757E666F" w14:textId="1AF13585" w:rsidR="00C93CB5" w:rsidRPr="00942B99" w:rsidRDefault="00C93CB5" w:rsidP="00DB3190">
      <w:pPr>
        <w:pStyle w:val="Prrafodelista"/>
        <w:numPr>
          <w:ilvl w:val="0"/>
          <w:numId w:val="33"/>
        </w:numPr>
        <w:jc w:val="both"/>
        <w:rPr>
          <w:rFonts w:eastAsia="Yu Gothic"/>
          <w:lang w:val="es-CO"/>
        </w:rPr>
      </w:pPr>
      <w:r w:rsidRPr="00942B99">
        <w:rPr>
          <w:rFonts w:cs="Arial"/>
          <w:b/>
          <w:lang w:val="es-CO"/>
        </w:rPr>
        <w:t>Estrategia 7:</w:t>
      </w:r>
      <w:r w:rsidRPr="00942B99">
        <w:rPr>
          <w:rFonts w:eastAsia="Yu Gothic"/>
          <w:lang w:val="es-CO"/>
        </w:rPr>
        <w:t xml:space="preserve"> Seguimiento al régimen de condicionalidad para </w:t>
      </w:r>
      <w:r w:rsidR="003F09A4" w:rsidRPr="00942B99">
        <w:rPr>
          <w:rFonts w:eastAsia="Yu Gothic"/>
          <w:lang w:val="es-CO"/>
        </w:rPr>
        <w:t>g</w:t>
      </w:r>
      <w:r w:rsidRPr="00942B99">
        <w:rPr>
          <w:rFonts w:eastAsia="Yu Gothic"/>
          <w:lang w:val="es-CO"/>
        </w:rPr>
        <w:t>arantizar el cumplimiento del régimen de condicionalidad, cuya</w:t>
      </w:r>
      <w:r w:rsidRPr="00942B99">
        <w:rPr>
          <w:rFonts w:eastAsia="Yu Gothic"/>
          <w:b/>
          <w:lang w:val="es-CO"/>
        </w:rPr>
        <w:t xml:space="preserve"> meta</w:t>
      </w:r>
      <w:r w:rsidRPr="00942B99">
        <w:rPr>
          <w:rFonts w:eastAsia="Yu Gothic"/>
          <w:lang w:val="es-CO"/>
        </w:rPr>
        <w:t xml:space="preserve"> consistiría en lograr un monitoreo al régimen de condicionalidad para más del 90% de los sometidos </w:t>
      </w:r>
      <w:r w:rsidRPr="00942B99">
        <w:rPr>
          <w:rFonts w:eastAsia="Yu Gothic"/>
          <w:lang w:val="es-CO"/>
        </w:rPr>
        <w:lastRenderedPageBreak/>
        <w:t xml:space="preserve">a la Jurisdicción. Su implementación se lograría vía un </w:t>
      </w:r>
      <w:r w:rsidRPr="00942B99">
        <w:rPr>
          <w:rFonts w:eastAsia="Yu Gothic"/>
          <w:b/>
          <w:lang w:val="es-CO"/>
        </w:rPr>
        <w:t xml:space="preserve">proyecto estratégico </w:t>
      </w:r>
      <w:r w:rsidRPr="00942B99">
        <w:rPr>
          <w:rFonts w:eastAsia="Yu Gothic"/>
          <w:lang w:val="es-CO"/>
        </w:rPr>
        <w:t>denominado “Definir e implementar el proyecto de monitoreo”, con duración permanente.</w:t>
      </w:r>
    </w:p>
    <w:p w14:paraId="329EE15F" w14:textId="77777777" w:rsidR="00942B99" w:rsidRPr="00942B99" w:rsidRDefault="00942B99" w:rsidP="006A1B70">
      <w:pPr>
        <w:pStyle w:val="Prrafodelista"/>
        <w:jc w:val="both"/>
        <w:rPr>
          <w:rFonts w:eastAsia="Yu Gothic"/>
          <w:lang w:val="es-CO"/>
        </w:rPr>
      </w:pPr>
    </w:p>
    <w:p w14:paraId="7641B843" w14:textId="3923D55B" w:rsidR="0030560E" w:rsidRPr="00942B99" w:rsidRDefault="00C93CB5" w:rsidP="00DB3190">
      <w:pPr>
        <w:pStyle w:val="Prrafodelista"/>
        <w:numPr>
          <w:ilvl w:val="0"/>
          <w:numId w:val="33"/>
        </w:numPr>
        <w:jc w:val="both"/>
        <w:rPr>
          <w:rFonts w:eastAsia="Yu Gothic"/>
          <w:lang w:val="es-CO"/>
        </w:rPr>
      </w:pPr>
      <w:r w:rsidRPr="00942B99">
        <w:rPr>
          <w:rFonts w:cs="Arial"/>
          <w:b/>
          <w:lang w:val="es-CO"/>
        </w:rPr>
        <w:t>Estrategia 8:</w:t>
      </w:r>
      <w:r w:rsidRPr="00942B99">
        <w:rPr>
          <w:rFonts w:eastAsia="Yu Gothic"/>
          <w:lang w:val="es-CO"/>
        </w:rPr>
        <w:t xml:space="preserve"> </w:t>
      </w:r>
      <w:r w:rsidR="003F09A4" w:rsidRPr="00942B99">
        <w:rPr>
          <w:rFonts w:eastAsia="Yu Gothic"/>
          <w:lang w:val="es-CO"/>
        </w:rPr>
        <w:t xml:space="preserve">Participación de las víctimas para facilitar la mayor participación de víctimas del conflicto, cuya </w:t>
      </w:r>
      <w:r w:rsidR="003F09A4" w:rsidRPr="00942B99">
        <w:rPr>
          <w:rFonts w:eastAsia="Yu Gothic"/>
          <w:b/>
          <w:lang w:val="es-CO"/>
        </w:rPr>
        <w:t xml:space="preserve">meta </w:t>
      </w:r>
      <w:r w:rsidR="003F09A4" w:rsidRPr="00942B99">
        <w:rPr>
          <w:rFonts w:eastAsia="Yu Gothic"/>
          <w:lang w:val="es-CO"/>
        </w:rPr>
        <w:t xml:space="preserve">consistiría en lograr la participación de al menos el 75% de las víctimas acreditadas en la JEP durante el proceso. Su implementación se lograría a través de dos </w:t>
      </w:r>
      <w:r w:rsidR="003F09A4" w:rsidRPr="00942B99">
        <w:rPr>
          <w:rFonts w:eastAsia="Yu Gothic"/>
          <w:b/>
          <w:lang w:val="es-CO"/>
        </w:rPr>
        <w:t>proyectos estratégicos</w:t>
      </w:r>
      <w:r w:rsidR="003F09A4" w:rsidRPr="00942B99">
        <w:rPr>
          <w:rFonts w:eastAsia="Yu Gothic"/>
          <w:lang w:val="es-CO"/>
        </w:rPr>
        <w:t xml:space="preserve"> denominados “Formular y desarrollar la política de participación integral de los titulares de derecho de la jurisdicción”, con duración de 2 años, e “Implementar medidas de protección la vida, integridad y seguridad personal de las víctimas que actúan ante la JEP”, con duración permanente.</w:t>
      </w:r>
      <w:r w:rsidRPr="00942B99">
        <w:rPr>
          <w:rFonts w:eastAsia="Yu Gothic"/>
          <w:lang w:val="es-CO"/>
        </w:rPr>
        <w:t xml:space="preserve"> </w:t>
      </w:r>
    </w:p>
    <w:p w14:paraId="21620BCC" w14:textId="77777777" w:rsidR="00BA5227" w:rsidRPr="00942B99" w:rsidRDefault="00BA5227" w:rsidP="00DB3190">
      <w:pPr>
        <w:pStyle w:val="textocorrido"/>
        <w:spacing w:before="0"/>
        <w:jc w:val="both"/>
        <w:rPr>
          <w:rFonts w:ascii="Palatino Linotype" w:hAnsi="Palatino Linotype"/>
          <w:sz w:val="24"/>
          <w:lang w:val="es-CO"/>
        </w:rPr>
      </w:pPr>
    </w:p>
    <w:p w14:paraId="496B45A2" w14:textId="77777777" w:rsidR="00BA5227" w:rsidRPr="00942B99" w:rsidRDefault="00BA5227"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En esta travesía del presente hacia el mañana se presentarán mareas y huracanes, para lo cual el estudio prospectivo, tomando el símil de la navegación, cuenta con un “Plan Vigía” que le permitirá a la JEP estar atenta a los principales escollos que es necesario evitar, como son: las fallas en la tecnología del monitoreo a los implicados en los delitos, la inseguridad en los territorios, el incumplimiento de compromisos de las instituciones que colaboran con la actividad de la justicia y el represamiento de los casos.</w:t>
      </w:r>
    </w:p>
    <w:p w14:paraId="335B3E5B" w14:textId="77777777" w:rsidR="00BA5227" w:rsidRPr="00942B99" w:rsidRDefault="00BA5227" w:rsidP="00DB3190">
      <w:pPr>
        <w:pStyle w:val="textocorrido"/>
        <w:spacing w:before="0"/>
        <w:jc w:val="both"/>
        <w:rPr>
          <w:rFonts w:ascii="Palatino Linotype" w:hAnsi="Palatino Linotype"/>
          <w:sz w:val="24"/>
          <w:lang w:val="es-CO"/>
        </w:rPr>
      </w:pPr>
    </w:p>
    <w:p w14:paraId="4E73EF1E" w14:textId="77777777" w:rsidR="00BA5227" w:rsidRPr="00942B99" w:rsidRDefault="00BA5227"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Detrás de estos fenómenos hay “actores sociales” que poseen y defienden intereses y esgrimen el poder que tienen en sus manos. Algunos son favorables al quehacer de la JEP, pero otros le son adversos. En este campo se mueven los partidos políticos, la sociedad civil, las víctimas y los organismos internacionales. Todos están pendientes de los éxitos y logros de la justicia transicional para amplificarlos positiva o negativamente a través de los medios de comunicación. Este es el tablero donde la JEP está jugando su prestigio. Por esta razón, el estudio enfatiza la importancia que tiene el hacer conocer los logros y la necesidad de estar en contacto con la opinión pública a través de medios analógicos y digitales.</w:t>
      </w:r>
    </w:p>
    <w:p w14:paraId="71E812C8" w14:textId="77777777" w:rsidR="00D75762" w:rsidRPr="00942B99" w:rsidRDefault="00D75762" w:rsidP="00DB3190">
      <w:pPr>
        <w:pStyle w:val="textocorrido"/>
        <w:spacing w:before="0"/>
        <w:jc w:val="center"/>
        <w:rPr>
          <w:rFonts w:ascii="Palatino Linotype" w:hAnsi="Palatino Linotype"/>
          <w:sz w:val="24"/>
          <w:lang w:val="es-CO"/>
        </w:rPr>
      </w:pPr>
    </w:p>
    <w:p w14:paraId="1C89F38D" w14:textId="5ABC38C7" w:rsidR="00FB52AD" w:rsidRPr="00942B99" w:rsidRDefault="00346050" w:rsidP="00DB3190">
      <w:pPr>
        <w:jc w:val="both"/>
        <w:rPr>
          <w:rFonts w:eastAsia="Yu Gothic"/>
          <w:lang w:val="es-CO"/>
        </w:rPr>
      </w:pPr>
      <w:r w:rsidRPr="00942B99">
        <w:rPr>
          <w:rFonts w:eastAsia="Yu Gothic"/>
          <w:lang w:val="es-CO"/>
        </w:rPr>
        <w:t>En este escenario la visión prospectiva de la Jurisdicción consiste en ser</w:t>
      </w:r>
      <w:r w:rsidR="00FB52AD" w:rsidRPr="00942B99">
        <w:rPr>
          <w:rFonts w:eastAsia="Yu Gothic"/>
          <w:lang w:val="es-CO"/>
        </w:rPr>
        <w:t xml:space="preserve"> una institución altamente respetada en el campo jurídico por haber logrado investigar, juzgar y sancionar a más del 80% de los máximos responsables del conflicto armado, que se sometieron a ella de cara a los crímenes más representativos en el conflicto armado. El éxito de </w:t>
      </w:r>
      <w:r w:rsidR="00436EF3" w:rsidRPr="00942B99">
        <w:rPr>
          <w:rFonts w:eastAsia="Yu Gothic"/>
          <w:lang w:val="es-CO"/>
        </w:rPr>
        <w:t>la J</w:t>
      </w:r>
      <w:r w:rsidR="00BC7256" w:rsidRPr="00942B99">
        <w:rPr>
          <w:rFonts w:eastAsia="Yu Gothic"/>
          <w:lang w:val="es-CO"/>
        </w:rPr>
        <w:t xml:space="preserve">urisdicción </w:t>
      </w:r>
      <w:r w:rsidR="00FB52AD" w:rsidRPr="00942B99">
        <w:rPr>
          <w:rFonts w:eastAsia="Yu Gothic"/>
          <w:lang w:val="es-CO"/>
        </w:rPr>
        <w:t>se explica</w:t>
      </w:r>
      <w:r w:rsidR="00BC7256" w:rsidRPr="00942B99">
        <w:rPr>
          <w:rFonts w:eastAsia="Yu Gothic"/>
          <w:lang w:val="es-CO"/>
        </w:rPr>
        <w:t>rá</w:t>
      </w:r>
      <w:r w:rsidR="00FB52AD" w:rsidRPr="00942B99">
        <w:rPr>
          <w:rFonts w:eastAsia="Yu Gothic"/>
          <w:lang w:val="es-CO"/>
        </w:rPr>
        <w:t xml:space="preserve"> por la exitosa cultura interna de mutua colaboración, entre unidades y dependencias, en más del 90% de los casos. Por otra parte, </w:t>
      </w:r>
      <w:r w:rsidR="002D53D3" w:rsidRPr="00942B99">
        <w:rPr>
          <w:rFonts w:eastAsia="Yu Gothic"/>
          <w:lang w:val="es-CO"/>
        </w:rPr>
        <w:t>deberá</w:t>
      </w:r>
      <w:r w:rsidR="00FB52AD" w:rsidRPr="00942B99">
        <w:rPr>
          <w:rFonts w:eastAsia="Yu Gothic"/>
          <w:lang w:val="es-CO"/>
        </w:rPr>
        <w:t xml:space="preserve"> con el apoyo de instituciones como la Fiscalía y la Policía con quienes ha llevado a cabo y cumplido exitosamente el 90% de los proyectos conjuntos.</w:t>
      </w:r>
      <w:r w:rsidR="002D53D3" w:rsidRPr="00942B99">
        <w:rPr>
          <w:rFonts w:eastAsia="Yu Gothic"/>
          <w:lang w:val="es-CO"/>
        </w:rPr>
        <w:t xml:space="preserve"> A</w:t>
      </w:r>
      <w:r w:rsidR="00FB52AD" w:rsidRPr="00942B99">
        <w:rPr>
          <w:rFonts w:eastAsia="Yu Gothic"/>
          <w:lang w:val="es-CO"/>
        </w:rPr>
        <w:t>simismo</w:t>
      </w:r>
      <w:r w:rsidR="002D53D3" w:rsidRPr="00942B99">
        <w:rPr>
          <w:rFonts w:eastAsia="Yu Gothic"/>
          <w:lang w:val="es-CO"/>
        </w:rPr>
        <w:t>,</w:t>
      </w:r>
      <w:r w:rsidR="00FB52AD" w:rsidRPr="00942B99">
        <w:rPr>
          <w:rFonts w:eastAsia="Yu Gothic"/>
          <w:lang w:val="es-CO"/>
        </w:rPr>
        <w:t xml:space="preserve"> por </w:t>
      </w:r>
      <w:r w:rsidR="002D53D3" w:rsidRPr="00942B99">
        <w:rPr>
          <w:rFonts w:eastAsia="Yu Gothic"/>
          <w:lang w:val="es-CO"/>
        </w:rPr>
        <w:t>llevar</w:t>
      </w:r>
      <w:r w:rsidR="00FB52AD" w:rsidRPr="00942B99">
        <w:rPr>
          <w:rFonts w:eastAsia="Yu Gothic"/>
          <w:lang w:val="es-CO"/>
        </w:rPr>
        <w:t xml:space="preserve"> a cabo el monitoreo al régimen de condicionalidad para más del 90% de los sometidos a la Jurisdicción y la participación del 75% de las víctimas acreditadas durante el proceso. Esta situación posiciona</w:t>
      </w:r>
      <w:r w:rsidR="00BC7256" w:rsidRPr="00942B99">
        <w:rPr>
          <w:rFonts w:eastAsia="Yu Gothic"/>
          <w:lang w:val="es-CO"/>
        </w:rPr>
        <w:t>rá</w:t>
      </w:r>
      <w:r w:rsidR="000737DA">
        <w:rPr>
          <w:rFonts w:eastAsia="Yu Gothic"/>
          <w:lang w:val="es-CO"/>
        </w:rPr>
        <w:t xml:space="preserve"> </w:t>
      </w:r>
      <w:r w:rsidR="002D53D3" w:rsidRPr="00942B99">
        <w:rPr>
          <w:rFonts w:eastAsia="Yu Gothic"/>
          <w:lang w:val="es-CO"/>
        </w:rPr>
        <w:t xml:space="preserve">a la JEP </w:t>
      </w:r>
      <w:r w:rsidR="00FB52AD" w:rsidRPr="00942B99">
        <w:rPr>
          <w:rFonts w:eastAsia="Yu Gothic"/>
          <w:lang w:val="es-CO"/>
        </w:rPr>
        <w:t xml:space="preserve">entre las 10 primeras instituciones del </w:t>
      </w:r>
      <w:r w:rsidR="00071E10" w:rsidRPr="00942B99">
        <w:rPr>
          <w:rFonts w:eastAsia="Yu Gothic"/>
          <w:lang w:val="es-CO"/>
        </w:rPr>
        <w:t>E</w:t>
      </w:r>
      <w:r w:rsidR="00FB52AD" w:rsidRPr="00942B99">
        <w:rPr>
          <w:rFonts w:eastAsia="Yu Gothic"/>
          <w:lang w:val="es-CO"/>
        </w:rPr>
        <w:t xml:space="preserve">stado, acreedoras a mayor confianza de la ciudadanía, lo que a su vez la promueve a la categoría de referente mundial en el ámbito de la justicia </w:t>
      </w:r>
      <w:r w:rsidR="002D53D3" w:rsidRPr="00942B99">
        <w:rPr>
          <w:rFonts w:eastAsia="Yu Gothic"/>
          <w:lang w:val="es-CO"/>
        </w:rPr>
        <w:t xml:space="preserve">transicional y la justicia </w:t>
      </w:r>
      <w:r w:rsidR="00FB52AD" w:rsidRPr="00942B99">
        <w:rPr>
          <w:rFonts w:eastAsia="Yu Gothic"/>
          <w:lang w:val="es-CO"/>
        </w:rPr>
        <w:t>restaurativa.</w:t>
      </w:r>
    </w:p>
    <w:p w14:paraId="0DA16E10" w14:textId="05080A32" w:rsidR="002D53D3" w:rsidRPr="00942B99" w:rsidRDefault="002D53D3" w:rsidP="00DB3190">
      <w:pPr>
        <w:jc w:val="both"/>
        <w:rPr>
          <w:rFonts w:eastAsia="Yu Gothic"/>
          <w:lang w:val="es-CO"/>
        </w:rPr>
      </w:pPr>
    </w:p>
    <w:p w14:paraId="207BE45A" w14:textId="75B2AC7B" w:rsidR="002D53D3" w:rsidRPr="00942B99" w:rsidRDefault="002D53D3" w:rsidP="00DB3190">
      <w:pPr>
        <w:jc w:val="both"/>
        <w:rPr>
          <w:rFonts w:eastAsia="Yu Gothic"/>
          <w:lang w:val="es-CO"/>
        </w:rPr>
      </w:pPr>
      <w:r w:rsidRPr="00942B99">
        <w:rPr>
          <w:rFonts w:eastAsia="Yu Gothic"/>
          <w:lang w:val="es-CO"/>
        </w:rPr>
        <w:lastRenderedPageBreak/>
        <w:t>Lograr tal escenario exige articular los planes estratégicos cuatrienales, los planes operativos anuales y realizar una planeación financiera y programación presupuestal acordes.</w:t>
      </w:r>
    </w:p>
    <w:p w14:paraId="176EEA1B" w14:textId="77777777" w:rsidR="004C3DD8" w:rsidRPr="00BC7256" w:rsidRDefault="004C3DD8" w:rsidP="00DB3190">
      <w:pPr>
        <w:jc w:val="both"/>
        <w:rPr>
          <w:rFonts w:eastAsia="Yu Gothic"/>
          <w:sz w:val="22"/>
          <w:szCs w:val="22"/>
          <w:lang w:val="es-CO"/>
        </w:rPr>
      </w:pPr>
    </w:p>
    <w:p w14:paraId="50329B59" w14:textId="1C829594" w:rsidR="005F0DFC" w:rsidRPr="00B17E11" w:rsidRDefault="005F0DFC" w:rsidP="00DB3190">
      <w:pPr>
        <w:pStyle w:val="Ttulo1"/>
        <w:numPr>
          <w:ilvl w:val="0"/>
          <w:numId w:val="4"/>
        </w:numPr>
        <w:spacing w:before="0"/>
        <w:rPr>
          <w:rFonts w:ascii="Palatino Linotype" w:hAnsi="Palatino Linotype"/>
          <w:b/>
          <w:sz w:val="24"/>
          <w:szCs w:val="24"/>
          <w:lang w:val="es-CO"/>
        </w:rPr>
      </w:pPr>
      <w:bookmarkStart w:id="10" w:name="_Toc36031113"/>
      <w:r w:rsidRPr="00B17E11">
        <w:rPr>
          <w:rFonts w:ascii="Palatino Linotype" w:hAnsi="Palatino Linotype"/>
          <w:b/>
          <w:sz w:val="24"/>
          <w:szCs w:val="24"/>
          <w:lang w:val="es-CO"/>
        </w:rPr>
        <w:t>GESTIÓN PRESUPUESTAL</w:t>
      </w:r>
      <w:bookmarkEnd w:id="10"/>
    </w:p>
    <w:p w14:paraId="2B3F3AFE" w14:textId="77777777" w:rsidR="00357226" w:rsidRPr="00EE2272" w:rsidRDefault="00357226" w:rsidP="00DB3190">
      <w:pPr>
        <w:rPr>
          <w:sz w:val="18"/>
          <w:lang w:val="es-CO"/>
        </w:rPr>
      </w:pPr>
    </w:p>
    <w:p w14:paraId="33C6F419" w14:textId="1B92C079" w:rsidR="00357226" w:rsidRPr="00B17E11" w:rsidRDefault="005F0DFC" w:rsidP="00DB3190">
      <w:pPr>
        <w:pStyle w:val="Ttulo2"/>
        <w:numPr>
          <w:ilvl w:val="1"/>
          <w:numId w:val="4"/>
        </w:numPr>
        <w:spacing w:before="0"/>
        <w:rPr>
          <w:rFonts w:ascii="Palatino Linotype" w:hAnsi="Palatino Linotype"/>
          <w:b/>
          <w:sz w:val="24"/>
          <w:szCs w:val="24"/>
          <w:lang w:val="es-CO"/>
        </w:rPr>
      </w:pPr>
      <w:bookmarkStart w:id="11" w:name="_Toc36031114"/>
      <w:r w:rsidRPr="00B17E11">
        <w:rPr>
          <w:rFonts w:ascii="Palatino Linotype" w:hAnsi="Palatino Linotype"/>
          <w:b/>
          <w:sz w:val="24"/>
          <w:szCs w:val="24"/>
          <w:lang w:val="es-CO"/>
        </w:rPr>
        <w:t>COMPORTAMIENTO PRESUPUESTAL 2018 - 2020</w:t>
      </w:r>
      <w:bookmarkEnd w:id="11"/>
    </w:p>
    <w:p w14:paraId="510B6B4E" w14:textId="77777777" w:rsidR="005F0DFC" w:rsidRPr="00EE2272" w:rsidRDefault="005F0DFC" w:rsidP="00DB3190">
      <w:pPr>
        <w:pStyle w:val="textocorrido"/>
        <w:spacing w:before="0"/>
        <w:jc w:val="both"/>
        <w:rPr>
          <w:rFonts w:ascii="Palatino Linotype" w:hAnsi="Palatino Linotype"/>
          <w:lang w:val="es-CO"/>
        </w:rPr>
      </w:pPr>
    </w:p>
    <w:p w14:paraId="54462D1A" w14:textId="2860CF17" w:rsidR="00940B54" w:rsidRPr="00942B99" w:rsidRDefault="00205437"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 xml:space="preserve">La Jurisdicción empieza a apropiar recursos directamente en 2018, desde enero solo en el rubro de funcionamiento y a partir de octubre 2018 en el rubro de inversión. </w:t>
      </w:r>
      <w:r w:rsidR="00D85145" w:rsidRPr="00942B99">
        <w:rPr>
          <w:rFonts w:ascii="Palatino Linotype" w:hAnsi="Palatino Linotype"/>
          <w:color w:val="auto"/>
          <w:sz w:val="24"/>
          <w:lang w:val="es-CO"/>
        </w:rPr>
        <w:t xml:space="preserve">Desde entonces, el 70% del recurso apropiado ha correspondido a presupuesto de funcionamiento y el 30% restante a presupuesto de inversión, que se ha distribuido entre 7 y 6 proyectos de inversión. Por su parte, el presupuesto de funcionamiento </w:t>
      </w:r>
      <w:r w:rsidR="009E12C4" w:rsidRPr="00942B99">
        <w:rPr>
          <w:rFonts w:ascii="Palatino Linotype" w:hAnsi="Palatino Linotype"/>
          <w:color w:val="auto"/>
          <w:sz w:val="24"/>
          <w:lang w:val="es-CO"/>
        </w:rPr>
        <w:t>se concentra en gastos de personal, siendo el 84% del gasto de funcionamiento y el 59% del p</w:t>
      </w:r>
      <w:r w:rsidR="00875E63" w:rsidRPr="00942B99">
        <w:rPr>
          <w:rFonts w:ascii="Palatino Linotype" w:hAnsi="Palatino Linotype"/>
          <w:color w:val="auto"/>
          <w:sz w:val="24"/>
          <w:lang w:val="es-CO"/>
        </w:rPr>
        <w:t>resupuesto total de la Jurisdicción. Es decir, históricamente el gasto de personal ha duplica</w:t>
      </w:r>
      <w:r w:rsidR="00415146" w:rsidRPr="00942B99">
        <w:rPr>
          <w:rFonts w:ascii="Palatino Linotype" w:hAnsi="Palatino Linotype"/>
          <w:color w:val="auto"/>
          <w:sz w:val="24"/>
          <w:lang w:val="es-CO"/>
        </w:rPr>
        <w:t>do</w:t>
      </w:r>
      <w:r w:rsidR="00875E63" w:rsidRPr="00942B99">
        <w:rPr>
          <w:rFonts w:ascii="Palatino Linotype" w:hAnsi="Palatino Linotype"/>
          <w:color w:val="auto"/>
          <w:sz w:val="24"/>
          <w:lang w:val="es-CO"/>
        </w:rPr>
        <w:t xml:space="preserve"> el presupuesto de </w:t>
      </w:r>
      <w:r w:rsidR="008071AF" w:rsidRPr="00942B99">
        <w:rPr>
          <w:rFonts w:ascii="Palatino Linotype" w:hAnsi="Palatino Linotype"/>
          <w:color w:val="auto"/>
          <w:sz w:val="24"/>
          <w:lang w:val="es-CO"/>
        </w:rPr>
        <w:t>inversión de la JEP (Ver Tabla 2</w:t>
      </w:r>
      <w:r w:rsidR="00875E63" w:rsidRPr="00942B99">
        <w:rPr>
          <w:rFonts w:ascii="Palatino Linotype" w:hAnsi="Palatino Linotype"/>
          <w:color w:val="auto"/>
          <w:sz w:val="24"/>
          <w:lang w:val="es-CO"/>
        </w:rPr>
        <w:t xml:space="preserve">). </w:t>
      </w:r>
    </w:p>
    <w:p w14:paraId="259BC3DC" w14:textId="77777777" w:rsidR="00E22200" w:rsidRDefault="00E22200" w:rsidP="00DB3190">
      <w:pPr>
        <w:pStyle w:val="Descripcin"/>
        <w:spacing w:after="0"/>
        <w:jc w:val="center"/>
        <w:rPr>
          <w:b/>
          <w:i w:val="0"/>
          <w:color w:val="auto"/>
          <w:sz w:val="22"/>
          <w:szCs w:val="22"/>
          <w:lang w:val="es-CO"/>
        </w:rPr>
      </w:pPr>
    </w:p>
    <w:p w14:paraId="08347901" w14:textId="4A0F56F7" w:rsidR="00205437" w:rsidRPr="00415146" w:rsidRDefault="00E15634" w:rsidP="00DB3190">
      <w:pPr>
        <w:pStyle w:val="Descripcin"/>
        <w:spacing w:after="0"/>
        <w:jc w:val="center"/>
        <w:rPr>
          <w:rFonts w:cs="Arial"/>
          <w:b/>
          <w:color w:val="auto"/>
          <w:sz w:val="22"/>
          <w:szCs w:val="22"/>
          <w:lang w:val="es-CO"/>
        </w:rPr>
      </w:pPr>
      <w:r w:rsidRPr="00415146">
        <w:rPr>
          <w:b/>
          <w:color w:val="auto"/>
          <w:sz w:val="22"/>
          <w:szCs w:val="22"/>
          <w:lang w:val="es-CO"/>
        </w:rPr>
        <w:t xml:space="preserve">Tabla </w:t>
      </w:r>
      <w:r w:rsidRPr="00415146">
        <w:rPr>
          <w:b/>
          <w:color w:val="auto"/>
          <w:sz w:val="22"/>
          <w:szCs w:val="22"/>
        </w:rPr>
        <w:fldChar w:fldCharType="begin"/>
      </w:r>
      <w:r w:rsidRPr="00415146">
        <w:rPr>
          <w:b/>
          <w:color w:val="auto"/>
          <w:sz w:val="22"/>
          <w:szCs w:val="22"/>
          <w:lang w:val="es-CO"/>
        </w:rPr>
        <w:instrText xml:space="preserve"> SEQ Tabla \* ARABIC </w:instrText>
      </w:r>
      <w:r w:rsidRPr="00415146">
        <w:rPr>
          <w:b/>
          <w:color w:val="auto"/>
          <w:sz w:val="22"/>
          <w:szCs w:val="22"/>
        </w:rPr>
        <w:fldChar w:fldCharType="separate"/>
      </w:r>
      <w:r w:rsidR="00045F70" w:rsidRPr="00415146">
        <w:rPr>
          <w:b/>
          <w:noProof/>
          <w:color w:val="auto"/>
          <w:sz w:val="22"/>
          <w:szCs w:val="22"/>
          <w:lang w:val="es-CO"/>
        </w:rPr>
        <w:t>1</w:t>
      </w:r>
      <w:r w:rsidRPr="00415146">
        <w:rPr>
          <w:b/>
          <w:color w:val="auto"/>
          <w:sz w:val="22"/>
          <w:szCs w:val="22"/>
        </w:rPr>
        <w:fldChar w:fldCharType="end"/>
      </w:r>
      <w:r w:rsidRPr="00415146">
        <w:rPr>
          <w:b/>
          <w:color w:val="auto"/>
          <w:sz w:val="22"/>
          <w:szCs w:val="22"/>
          <w:lang w:val="es-CO"/>
        </w:rPr>
        <w:t>.</w:t>
      </w:r>
      <w:r w:rsidR="000737DA">
        <w:rPr>
          <w:b/>
          <w:color w:val="auto"/>
          <w:sz w:val="22"/>
          <w:szCs w:val="22"/>
          <w:lang w:val="es-CO"/>
        </w:rPr>
        <w:t xml:space="preserve"> </w:t>
      </w:r>
      <w:r w:rsidR="00205437" w:rsidRPr="00415146">
        <w:rPr>
          <w:rFonts w:cs="Arial"/>
          <w:b/>
          <w:color w:val="auto"/>
          <w:sz w:val="22"/>
          <w:szCs w:val="22"/>
          <w:lang w:val="es-CO"/>
        </w:rPr>
        <w:t xml:space="preserve">Presupuesto </w:t>
      </w:r>
      <w:r w:rsidR="00323105" w:rsidRPr="00415146">
        <w:rPr>
          <w:rFonts w:cs="Arial"/>
          <w:b/>
          <w:color w:val="auto"/>
          <w:sz w:val="22"/>
          <w:szCs w:val="22"/>
          <w:lang w:val="es-CO"/>
        </w:rPr>
        <w:t>apropiado</w:t>
      </w:r>
      <w:r w:rsidR="00DD6F85" w:rsidRPr="00415146">
        <w:rPr>
          <w:rFonts w:cs="Arial"/>
          <w:b/>
          <w:color w:val="auto"/>
          <w:sz w:val="22"/>
          <w:szCs w:val="22"/>
          <w:lang w:val="es-CO"/>
        </w:rPr>
        <w:t xml:space="preserve"> por</w:t>
      </w:r>
      <w:r w:rsidR="00205437" w:rsidRPr="00415146">
        <w:rPr>
          <w:rFonts w:cs="Arial"/>
          <w:b/>
          <w:color w:val="auto"/>
          <w:sz w:val="22"/>
          <w:szCs w:val="22"/>
          <w:lang w:val="es-CO"/>
        </w:rPr>
        <w:t xml:space="preserve"> </w:t>
      </w:r>
      <w:r w:rsidR="00DD6F85" w:rsidRPr="00415146">
        <w:rPr>
          <w:rFonts w:cs="Arial"/>
          <w:b/>
          <w:color w:val="auto"/>
          <w:sz w:val="22"/>
          <w:szCs w:val="22"/>
          <w:lang w:val="es-CO"/>
        </w:rPr>
        <w:t xml:space="preserve">la JEP (2018 – 2020) </w:t>
      </w:r>
      <w:r w:rsidR="00F00B81">
        <w:rPr>
          <w:rFonts w:cs="Arial"/>
          <w:b/>
          <w:color w:val="auto"/>
          <w:sz w:val="22"/>
          <w:szCs w:val="22"/>
          <w:lang w:val="es-CO"/>
        </w:rPr>
        <w:t xml:space="preserve">- </w:t>
      </w:r>
      <w:r w:rsidR="00DD6F85" w:rsidRPr="00415146">
        <w:rPr>
          <w:rFonts w:cs="Arial"/>
          <w:b/>
          <w:color w:val="auto"/>
          <w:sz w:val="22"/>
          <w:szCs w:val="22"/>
          <w:lang w:val="es-CO"/>
        </w:rPr>
        <w:t xml:space="preserve">Cifras </w:t>
      </w:r>
      <w:r w:rsidR="003751AD" w:rsidRPr="00415146">
        <w:rPr>
          <w:rFonts w:cs="Arial"/>
          <w:b/>
          <w:color w:val="auto"/>
          <w:sz w:val="22"/>
          <w:szCs w:val="22"/>
          <w:lang w:val="es-CO"/>
        </w:rPr>
        <w:t xml:space="preserve">anuales </w:t>
      </w:r>
      <w:r w:rsidR="00DD6F85" w:rsidRPr="00415146">
        <w:rPr>
          <w:rFonts w:cs="Arial"/>
          <w:b/>
          <w:color w:val="auto"/>
          <w:sz w:val="22"/>
          <w:szCs w:val="22"/>
          <w:lang w:val="es-CO"/>
        </w:rPr>
        <w:t>en pesos corrientes</w:t>
      </w:r>
    </w:p>
    <w:tbl>
      <w:tblPr>
        <w:tblW w:w="5763" w:type="pct"/>
        <w:tblInd w:w="-719" w:type="dxa"/>
        <w:tblCellMar>
          <w:left w:w="70" w:type="dxa"/>
          <w:right w:w="70" w:type="dxa"/>
        </w:tblCellMar>
        <w:tblLook w:val="04A0" w:firstRow="1" w:lastRow="0" w:firstColumn="1" w:lastColumn="0" w:noHBand="0" w:noVBand="1"/>
      </w:tblPr>
      <w:tblGrid>
        <w:gridCol w:w="1778"/>
        <w:gridCol w:w="1735"/>
        <w:gridCol w:w="1191"/>
        <w:gridCol w:w="1735"/>
        <w:gridCol w:w="1191"/>
        <w:gridCol w:w="1735"/>
        <w:gridCol w:w="1191"/>
      </w:tblGrid>
      <w:tr w:rsidR="00094116" w:rsidRPr="00DD6F85" w14:paraId="23EA5F65" w14:textId="77777777" w:rsidTr="00415146">
        <w:trPr>
          <w:trHeight w:val="345"/>
          <w:tblHeader/>
        </w:trPr>
        <w:tc>
          <w:tcPr>
            <w:tcW w:w="842" w:type="pct"/>
            <w:vMerge w:val="restart"/>
            <w:tcBorders>
              <w:top w:val="single" w:sz="8" w:space="0" w:color="BFBFBF"/>
              <w:left w:val="single" w:sz="8" w:space="0" w:color="BFBFBF"/>
              <w:bottom w:val="single" w:sz="4" w:space="0" w:color="BFBFBF"/>
              <w:right w:val="nil"/>
            </w:tcBorders>
            <w:shd w:val="clear" w:color="000000" w:fill="002060"/>
            <w:vAlign w:val="center"/>
            <w:hideMark/>
          </w:tcPr>
          <w:p w14:paraId="4DEDFC11"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Cuenta</w:t>
            </w:r>
          </w:p>
        </w:tc>
        <w:tc>
          <w:tcPr>
            <w:tcW w:w="1386" w:type="pct"/>
            <w:gridSpan w:val="2"/>
            <w:tcBorders>
              <w:top w:val="single" w:sz="8" w:space="0" w:color="BFBFBF"/>
              <w:left w:val="single" w:sz="8" w:space="0" w:color="BFBFBF"/>
              <w:bottom w:val="single" w:sz="4" w:space="0" w:color="BFBFBF"/>
              <w:right w:val="single" w:sz="8" w:space="0" w:color="BFBFBF"/>
            </w:tcBorders>
            <w:shd w:val="clear" w:color="000000" w:fill="002060"/>
            <w:vAlign w:val="center"/>
            <w:hideMark/>
          </w:tcPr>
          <w:p w14:paraId="3DEBEFB1"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2018</w:t>
            </w:r>
          </w:p>
        </w:tc>
        <w:tc>
          <w:tcPr>
            <w:tcW w:w="1386" w:type="pct"/>
            <w:gridSpan w:val="2"/>
            <w:tcBorders>
              <w:top w:val="single" w:sz="8" w:space="0" w:color="BFBFBF"/>
              <w:left w:val="nil"/>
              <w:bottom w:val="single" w:sz="4" w:space="0" w:color="BFBFBF"/>
              <w:right w:val="single" w:sz="8" w:space="0" w:color="BFBFBF"/>
            </w:tcBorders>
            <w:shd w:val="clear" w:color="000000" w:fill="002060"/>
            <w:vAlign w:val="center"/>
            <w:hideMark/>
          </w:tcPr>
          <w:p w14:paraId="1F573923"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2019</w:t>
            </w:r>
          </w:p>
        </w:tc>
        <w:tc>
          <w:tcPr>
            <w:tcW w:w="1386" w:type="pct"/>
            <w:gridSpan w:val="2"/>
            <w:tcBorders>
              <w:top w:val="single" w:sz="8" w:space="0" w:color="BFBFBF"/>
              <w:left w:val="nil"/>
              <w:bottom w:val="single" w:sz="4" w:space="0" w:color="BFBFBF"/>
              <w:right w:val="single" w:sz="8" w:space="0" w:color="BFBFBF"/>
            </w:tcBorders>
            <w:shd w:val="clear" w:color="000000" w:fill="002060"/>
            <w:vAlign w:val="center"/>
            <w:hideMark/>
          </w:tcPr>
          <w:p w14:paraId="7037B367"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2020</w:t>
            </w:r>
          </w:p>
        </w:tc>
      </w:tr>
      <w:tr w:rsidR="00DD6F85" w:rsidRPr="00DD6F85" w14:paraId="216DEE05" w14:textId="77777777" w:rsidTr="00415146">
        <w:trPr>
          <w:trHeight w:val="345"/>
          <w:tblHeader/>
        </w:trPr>
        <w:tc>
          <w:tcPr>
            <w:tcW w:w="842" w:type="pct"/>
            <w:vMerge/>
            <w:tcBorders>
              <w:top w:val="single" w:sz="8" w:space="0" w:color="BFBFBF"/>
              <w:left w:val="single" w:sz="8" w:space="0" w:color="BFBFBF"/>
              <w:bottom w:val="single" w:sz="4" w:space="0" w:color="BFBFBF"/>
              <w:right w:val="nil"/>
            </w:tcBorders>
            <w:vAlign w:val="center"/>
            <w:hideMark/>
          </w:tcPr>
          <w:p w14:paraId="715A6B99" w14:textId="77777777" w:rsidR="00DD6F85" w:rsidRPr="00DD6F85" w:rsidRDefault="00DD6F85" w:rsidP="00EA7D22">
            <w:pPr>
              <w:spacing w:line="220" w:lineRule="exact"/>
              <w:rPr>
                <w:rFonts w:eastAsia="Times New Roman" w:cs="Calibri"/>
                <w:b/>
                <w:bCs/>
                <w:color w:val="FFFFFF"/>
                <w:sz w:val="22"/>
                <w:szCs w:val="22"/>
                <w:lang w:val="es-CO" w:eastAsia="es-CO"/>
              </w:rPr>
            </w:pPr>
          </w:p>
        </w:tc>
        <w:tc>
          <w:tcPr>
            <w:tcW w:w="822" w:type="pct"/>
            <w:tcBorders>
              <w:top w:val="nil"/>
              <w:left w:val="single" w:sz="8" w:space="0" w:color="BFBFBF"/>
              <w:bottom w:val="single" w:sz="4" w:space="0" w:color="BFBFBF"/>
              <w:right w:val="single" w:sz="4" w:space="0" w:color="BFBFBF"/>
            </w:tcBorders>
            <w:shd w:val="clear" w:color="000000" w:fill="E7E6E6"/>
            <w:vAlign w:val="center"/>
            <w:hideMark/>
          </w:tcPr>
          <w:p w14:paraId="34DEB87B"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Pesos</w:t>
            </w:r>
          </w:p>
        </w:tc>
        <w:tc>
          <w:tcPr>
            <w:tcW w:w="564" w:type="pct"/>
            <w:tcBorders>
              <w:top w:val="nil"/>
              <w:left w:val="nil"/>
              <w:bottom w:val="single" w:sz="4" w:space="0" w:color="BFBFBF"/>
              <w:right w:val="single" w:sz="8" w:space="0" w:color="BFBFBF"/>
            </w:tcBorders>
            <w:shd w:val="clear" w:color="000000" w:fill="E7E6E6"/>
            <w:vAlign w:val="center"/>
            <w:hideMark/>
          </w:tcPr>
          <w:p w14:paraId="5F580FBD"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Porcentaje</w:t>
            </w:r>
          </w:p>
        </w:tc>
        <w:tc>
          <w:tcPr>
            <w:tcW w:w="822" w:type="pct"/>
            <w:tcBorders>
              <w:top w:val="nil"/>
              <w:left w:val="nil"/>
              <w:bottom w:val="single" w:sz="4" w:space="0" w:color="BFBFBF"/>
              <w:right w:val="single" w:sz="4" w:space="0" w:color="BFBFBF"/>
            </w:tcBorders>
            <w:shd w:val="clear" w:color="000000" w:fill="E7E6E6"/>
            <w:vAlign w:val="center"/>
            <w:hideMark/>
          </w:tcPr>
          <w:p w14:paraId="5060A352"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Pesos</w:t>
            </w:r>
          </w:p>
        </w:tc>
        <w:tc>
          <w:tcPr>
            <w:tcW w:w="564" w:type="pct"/>
            <w:tcBorders>
              <w:top w:val="nil"/>
              <w:left w:val="nil"/>
              <w:bottom w:val="single" w:sz="4" w:space="0" w:color="BFBFBF"/>
              <w:right w:val="single" w:sz="8" w:space="0" w:color="BFBFBF"/>
            </w:tcBorders>
            <w:shd w:val="clear" w:color="000000" w:fill="E7E6E6"/>
            <w:vAlign w:val="center"/>
            <w:hideMark/>
          </w:tcPr>
          <w:p w14:paraId="26665C94"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Porcentaje</w:t>
            </w:r>
          </w:p>
        </w:tc>
        <w:tc>
          <w:tcPr>
            <w:tcW w:w="822" w:type="pct"/>
            <w:tcBorders>
              <w:top w:val="nil"/>
              <w:left w:val="nil"/>
              <w:bottom w:val="single" w:sz="4" w:space="0" w:color="BFBFBF"/>
              <w:right w:val="single" w:sz="4" w:space="0" w:color="BFBFBF"/>
            </w:tcBorders>
            <w:shd w:val="clear" w:color="000000" w:fill="E7E6E6"/>
            <w:vAlign w:val="center"/>
            <w:hideMark/>
          </w:tcPr>
          <w:p w14:paraId="3FFA60CC"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Pesos</w:t>
            </w:r>
          </w:p>
        </w:tc>
        <w:tc>
          <w:tcPr>
            <w:tcW w:w="564" w:type="pct"/>
            <w:tcBorders>
              <w:top w:val="nil"/>
              <w:left w:val="nil"/>
              <w:bottom w:val="single" w:sz="4" w:space="0" w:color="BFBFBF"/>
              <w:right w:val="single" w:sz="8" w:space="0" w:color="BFBFBF"/>
            </w:tcBorders>
            <w:shd w:val="clear" w:color="000000" w:fill="E7E6E6"/>
            <w:vAlign w:val="center"/>
            <w:hideMark/>
          </w:tcPr>
          <w:p w14:paraId="03605372" w14:textId="77777777" w:rsidR="00DD6F85" w:rsidRPr="00DD6F85" w:rsidRDefault="00DD6F85" w:rsidP="00EA7D22">
            <w:pPr>
              <w:spacing w:line="220" w:lineRule="exact"/>
              <w:jc w:val="center"/>
              <w:rPr>
                <w:rFonts w:eastAsia="Times New Roman" w:cs="Calibri"/>
                <w:b/>
                <w:bCs/>
                <w:sz w:val="22"/>
                <w:szCs w:val="22"/>
                <w:lang w:val="es-CO" w:eastAsia="es-CO"/>
              </w:rPr>
            </w:pPr>
            <w:r w:rsidRPr="00DD6F85">
              <w:rPr>
                <w:rFonts w:eastAsia="Times New Roman" w:cs="Calibri"/>
                <w:b/>
                <w:bCs/>
                <w:sz w:val="22"/>
                <w:szCs w:val="22"/>
                <w:lang w:val="es-CO" w:eastAsia="es-CO"/>
              </w:rPr>
              <w:t>Porcentaje</w:t>
            </w:r>
          </w:p>
        </w:tc>
      </w:tr>
      <w:tr w:rsidR="00DD6F85" w:rsidRPr="00906D72" w14:paraId="5E66F204" w14:textId="77777777" w:rsidTr="00C1558B">
        <w:trPr>
          <w:trHeight w:val="345"/>
        </w:trPr>
        <w:tc>
          <w:tcPr>
            <w:tcW w:w="842" w:type="pct"/>
            <w:tcBorders>
              <w:top w:val="nil"/>
              <w:left w:val="single" w:sz="8" w:space="0" w:color="BFBFBF"/>
              <w:bottom w:val="single" w:sz="4" w:space="0" w:color="BFBFBF"/>
              <w:right w:val="nil"/>
            </w:tcBorders>
            <w:shd w:val="clear" w:color="000000" w:fill="D9E1F2"/>
            <w:vAlign w:val="center"/>
            <w:hideMark/>
          </w:tcPr>
          <w:p w14:paraId="1150F2BC" w14:textId="77777777" w:rsidR="00DD6F85" w:rsidRPr="00DD6F85" w:rsidRDefault="00DD6F85" w:rsidP="00EA7D22">
            <w:pPr>
              <w:spacing w:line="220" w:lineRule="exact"/>
              <w:rPr>
                <w:rFonts w:eastAsia="Times New Roman" w:cs="Calibri"/>
                <w:b/>
                <w:bCs/>
                <w:sz w:val="22"/>
                <w:szCs w:val="22"/>
                <w:lang w:val="es-CO" w:eastAsia="es-CO"/>
              </w:rPr>
            </w:pPr>
            <w:r w:rsidRPr="00DD6F85">
              <w:rPr>
                <w:rFonts w:eastAsia="Times New Roman" w:cs="Calibri"/>
                <w:b/>
                <w:bCs/>
                <w:sz w:val="22"/>
                <w:szCs w:val="22"/>
                <w:lang w:val="es-CO" w:eastAsia="es-CO"/>
              </w:rPr>
              <w:t>Funcionamiento</w:t>
            </w:r>
          </w:p>
        </w:tc>
        <w:tc>
          <w:tcPr>
            <w:tcW w:w="822" w:type="pct"/>
            <w:tcBorders>
              <w:top w:val="nil"/>
              <w:left w:val="single" w:sz="8" w:space="0" w:color="BFBFBF"/>
              <w:bottom w:val="single" w:sz="4" w:space="0" w:color="BFBFBF"/>
              <w:right w:val="single" w:sz="4" w:space="0" w:color="BFBFBF"/>
            </w:tcBorders>
            <w:shd w:val="clear" w:color="000000" w:fill="D9E1F2"/>
            <w:vAlign w:val="center"/>
            <w:hideMark/>
          </w:tcPr>
          <w:p w14:paraId="697CE39F" w14:textId="3FF6B472"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 xml:space="preserve">$110.797.442.846 </w:t>
            </w:r>
          </w:p>
        </w:tc>
        <w:tc>
          <w:tcPr>
            <w:tcW w:w="564" w:type="pct"/>
            <w:tcBorders>
              <w:top w:val="nil"/>
              <w:left w:val="nil"/>
              <w:bottom w:val="single" w:sz="4" w:space="0" w:color="BFBFBF"/>
              <w:right w:val="single" w:sz="8" w:space="0" w:color="BFBFBF"/>
            </w:tcBorders>
            <w:shd w:val="clear" w:color="000000" w:fill="D9E1F2"/>
            <w:vAlign w:val="center"/>
            <w:hideMark/>
          </w:tcPr>
          <w:p w14:paraId="773535FB" w14:textId="77777777"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83,5%</w:t>
            </w:r>
          </w:p>
        </w:tc>
        <w:tc>
          <w:tcPr>
            <w:tcW w:w="822" w:type="pct"/>
            <w:tcBorders>
              <w:top w:val="nil"/>
              <w:left w:val="nil"/>
              <w:bottom w:val="single" w:sz="4" w:space="0" w:color="BFBFBF"/>
              <w:right w:val="single" w:sz="4" w:space="0" w:color="BFBFBF"/>
            </w:tcBorders>
            <w:shd w:val="clear" w:color="000000" w:fill="D9E1F2"/>
            <w:vAlign w:val="center"/>
            <w:hideMark/>
          </w:tcPr>
          <w:p w14:paraId="4F64DB9D" w14:textId="76755486"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 xml:space="preserve">$202.107.623.109 </w:t>
            </w:r>
          </w:p>
        </w:tc>
        <w:tc>
          <w:tcPr>
            <w:tcW w:w="564" w:type="pct"/>
            <w:tcBorders>
              <w:top w:val="nil"/>
              <w:left w:val="nil"/>
              <w:bottom w:val="single" w:sz="4" w:space="0" w:color="BFBFBF"/>
              <w:right w:val="single" w:sz="8" w:space="0" w:color="BFBFBF"/>
            </w:tcBorders>
            <w:shd w:val="clear" w:color="000000" w:fill="D9E1F2"/>
            <w:vAlign w:val="center"/>
            <w:hideMark/>
          </w:tcPr>
          <w:p w14:paraId="6B49F292" w14:textId="77777777"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71,0%</w:t>
            </w:r>
          </w:p>
        </w:tc>
        <w:tc>
          <w:tcPr>
            <w:tcW w:w="822" w:type="pct"/>
            <w:tcBorders>
              <w:top w:val="nil"/>
              <w:left w:val="nil"/>
              <w:bottom w:val="single" w:sz="4" w:space="0" w:color="BFBFBF"/>
              <w:right w:val="single" w:sz="4" w:space="0" w:color="BFBFBF"/>
            </w:tcBorders>
            <w:shd w:val="clear" w:color="000000" w:fill="D9E1F2"/>
            <w:vAlign w:val="center"/>
            <w:hideMark/>
          </w:tcPr>
          <w:p w14:paraId="0EEBB165" w14:textId="0E389417"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 xml:space="preserve">$201.325.557.159 </w:t>
            </w:r>
          </w:p>
        </w:tc>
        <w:tc>
          <w:tcPr>
            <w:tcW w:w="564" w:type="pct"/>
            <w:tcBorders>
              <w:top w:val="nil"/>
              <w:left w:val="nil"/>
              <w:bottom w:val="single" w:sz="4" w:space="0" w:color="BFBFBF"/>
              <w:right w:val="single" w:sz="8" w:space="0" w:color="BFBFBF"/>
            </w:tcBorders>
            <w:shd w:val="clear" w:color="000000" w:fill="D9E1F2"/>
            <w:vAlign w:val="center"/>
            <w:hideMark/>
          </w:tcPr>
          <w:p w14:paraId="030127F7" w14:textId="261D68D5" w:rsidR="00DD6F85" w:rsidRPr="00DD6F85" w:rsidRDefault="00906D72" w:rsidP="00EA7D22">
            <w:pPr>
              <w:spacing w:line="220" w:lineRule="exact"/>
              <w:jc w:val="right"/>
              <w:rPr>
                <w:rFonts w:eastAsia="Times New Roman" w:cs="Calibri"/>
                <w:b/>
                <w:bCs/>
                <w:sz w:val="22"/>
                <w:szCs w:val="22"/>
                <w:lang w:val="es-CO" w:eastAsia="es-CO"/>
              </w:rPr>
            </w:pPr>
            <w:r>
              <w:rPr>
                <w:rFonts w:eastAsia="Times New Roman" w:cs="Calibri"/>
                <w:b/>
                <w:bCs/>
                <w:sz w:val="22"/>
                <w:szCs w:val="22"/>
                <w:lang w:val="es-CO" w:eastAsia="es-CO"/>
              </w:rPr>
              <w:t>63</w:t>
            </w:r>
            <w:r w:rsidR="00DD6F85" w:rsidRPr="00DD6F85">
              <w:rPr>
                <w:rFonts w:eastAsia="Times New Roman" w:cs="Calibri"/>
                <w:b/>
                <w:bCs/>
                <w:sz w:val="22"/>
                <w:szCs w:val="22"/>
                <w:lang w:val="es-CO" w:eastAsia="es-CO"/>
              </w:rPr>
              <w:t>,</w:t>
            </w:r>
            <w:r>
              <w:rPr>
                <w:rFonts w:eastAsia="Times New Roman" w:cs="Calibri"/>
                <w:b/>
                <w:bCs/>
                <w:sz w:val="22"/>
                <w:szCs w:val="22"/>
                <w:lang w:val="es-CO" w:eastAsia="es-CO"/>
              </w:rPr>
              <w:t>6</w:t>
            </w:r>
            <w:r w:rsidR="00DD6F85" w:rsidRPr="00DD6F85">
              <w:rPr>
                <w:rFonts w:eastAsia="Times New Roman" w:cs="Calibri"/>
                <w:b/>
                <w:bCs/>
                <w:sz w:val="22"/>
                <w:szCs w:val="22"/>
                <w:lang w:val="es-CO" w:eastAsia="es-CO"/>
              </w:rPr>
              <w:t>%</w:t>
            </w:r>
          </w:p>
        </w:tc>
      </w:tr>
      <w:tr w:rsidR="00DD6F85" w:rsidRPr="00906D72" w14:paraId="597C9684" w14:textId="77777777" w:rsidTr="00C1558B">
        <w:trPr>
          <w:trHeight w:val="330"/>
        </w:trPr>
        <w:tc>
          <w:tcPr>
            <w:tcW w:w="842" w:type="pct"/>
            <w:tcBorders>
              <w:top w:val="nil"/>
              <w:left w:val="single" w:sz="8" w:space="0" w:color="BFBFBF"/>
              <w:bottom w:val="single" w:sz="4" w:space="0" w:color="BFBFBF"/>
              <w:right w:val="nil"/>
            </w:tcBorders>
            <w:shd w:val="clear" w:color="auto" w:fill="auto"/>
            <w:vAlign w:val="center"/>
            <w:hideMark/>
          </w:tcPr>
          <w:p w14:paraId="2E5F61A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Gastos de Personal</w:t>
            </w:r>
          </w:p>
        </w:tc>
        <w:tc>
          <w:tcPr>
            <w:tcW w:w="822" w:type="pct"/>
            <w:tcBorders>
              <w:top w:val="nil"/>
              <w:left w:val="single" w:sz="8" w:space="0" w:color="BFBFBF"/>
              <w:bottom w:val="single" w:sz="4" w:space="0" w:color="BFBFBF"/>
              <w:right w:val="single" w:sz="4" w:space="0" w:color="BFBFBF"/>
            </w:tcBorders>
            <w:shd w:val="clear" w:color="auto" w:fill="auto"/>
            <w:vAlign w:val="center"/>
            <w:hideMark/>
          </w:tcPr>
          <w:p w14:paraId="1C31A76C"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$ 90.418.000.000 </w:t>
            </w:r>
          </w:p>
        </w:tc>
        <w:tc>
          <w:tcPr>
            <w:tcW w:w="564" w:type="pct"/>
            <w:tcBorders>
              <w:top w:val="nil"/>
              <w:left w:val="nil"/>
              <w:bottom w:val="single" w:sz="4" w:space="0" w:color="BFBFBF"/>
              <w:right w:val="single" w:sz="8" w:space="0" w:color="BFBFBF"/>
            </w:tcBorders>
            <w:shd w:val="clear" w:color="auto" w:fill="auto"/>
            <w:vAlign w:val="center"/>
            <w:hideMark/>
          </w:tcPr>
          <w:p w14:paraId="37F0A1B7"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81,6%</w:t>
            </w:r>
          </w:p>
        </w:tc>
        <w:tc>
          <w:tcPr>
            <w:tcW w:w="822" w:type="pct"/>
            <w:tcBorders>
              <w:top w:val="nil"/>
              <w:left w:val="nil"/>
              <w:bottom w:val="single" w:sz="4" w:space="0" w:color="BFBFBF"/>
              <w:right w:val="single" w:sz="4" w:space="0" w:color="BFBFBF"/>
            </w:tcBorders>
            <w:shd w:val="clear" w:color="auto" w:fill="auto"/>
            <w:vAlign w:val="center"/>
            <w:hideMark/>
          </w:tcPr>
          <w:p w14:paraId="2578CE43" w14:textId="28A63958"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 xml:space="preserve">$171.304.941.592 </w:t>
            </w:r>
          </w:p>
        </w:tc>
        <w:tc>
          <w:tcPr>
            <w:tcW w:w="564" w:type="pct"/>
            <w:tcBorders>
              <w:top w:val="nil"/>
              <w:left w:val="nil"/>
              <w:bottom w:val="single" w:sz="4" w:space="0" w:color="BFBFBF"/>
              <w:right w:val="single" w:sz="8" w:space="0" w:color="BFBFBF"/>
            </w:tcBorders>
            <w:shd w:val="clear" w:color="auto" w:fill="auto"/>
            <w:vAlign w:val="center"/>
            <w:hideMark/>
          </w:tcPr>
          <w:p w14:paraId="268D9F95"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84,8%</w:t>
            </w:r>
          </w:p>
        </w:tc>
        <w:tc>
          <w:tcPr>
            <w:tcW w:w="822" w:type="pct"/>
            <w:tcBorders>
              <w:top w:val="nil"/>
              <w:left w:val="nil"/>
              <w:bottom w:val="single" w:sz="4" w:space="0" w:color="BFBFBF"/>
              <w:right w:val="single" w:sz="4" w:space="0" w:color="BFBFBF"/>
            </w:tcBorders>
            <w:shd w:val="clear" w:color="auto" w:fill="auto"/>
            <w:vAlign w:val="center"/>
            <w:hideMark/>
          </w:tcPr>
          <w:p w14:paraId="222FD64C" w14:textId="2B95F020"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$172.137.800.000 </w:t>
            </w:r>
          </w:p>
        </w:tc>
        <w:tc>
          <w:tcPr>
            <w:tcW w:w="564" w:type="pct"/>
            <w:tcBorders>
              <w:top w:val="nil"/>
              <w:left w:val="nil"/>
              <w:bottom w:val="single" w:sz="4" w:space="0" w:color="BFBFBF"/>
              <w:right w:val="single" w:sz="8" w:space="0" w:color="BFBFBF"/>
            </w:tcBorders>
            <w:shd w:val="clear" w:color="auto" w:fill="auto"/>
            <w:vAlign w:val="center"/>
            <w:hideMark/>
          </w:tcPr>
          <w:p w14:paraId="203CD9CF"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85,5%</w:t>
            </w:r>
          </w:p>
        </w:tc>
      </w:tr>
      <w:tr w:rsidR="00DD6F85" w:rsidRPr="00DD6F85" w14:paraId="4922711B" w14:textId="77777777" w:rsidTr="00C1558B">
        <w:trPr>
          <w:trHeight w:val="330"/>
        </w:trPr>
        <w:tc>
          <w:tcPr>
            <w:tcW w:w="842" w:type="pct"/>
            <w:tcBorders>
              <w:top w:val="nil"/>
              <w:left w:val="single" w:sz="8" w:space="0" w:color="BFBFBF"/>
              <w:bottom w:val="single" w:sz="4" w:space="0" w:color="BFBFBF"/>
              <w:right w:val="nil"/>
            </w:tcBorders>
            <w:shd w:val="clear" w:color="auto" w:fill="auto"/>
            <w:vAlign w:val="center"/>
            <w:hideMark/>
          </w:tcPr>
          <w:p w14:paraId="1BA72843"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Adquisición de bienes y servicios</w:t>
            </w:r>
          </w:p>
        </w:tc>
        <w:tc>
          <w:tcPr>
            <w:tcW w:w="822" w:type="pct"/>
            <w:tcBorders>
              <w:top w:val="nil"/>
              <w:left w:val="single" w:sz="8" w:space="0" w:color="BFBFBF"/>
              <w:bottom w:val="single" w:sz="4" w:space="0" w:color="BFBFBF"/>
              <w:right w:val="single" w:sz="4" w:space="0" w:color="BFBFBF"/>
            </w:tcBorders>
            <w:shd w:val="clear" w:color="auto" w:fill="auto"/>
            <w:vAlign w:val="center"/>
            <w:hideMark/>
          </w:tcPr>
          <w:p w14:paraId="76C051CD"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$ 20.379.442.846 </w:t>
            </w:r>
          </w:p>
        </w:tc>
        <w:tc>
          <w:tcPr>
            <w:tcW w:w="564" w:type="pct"/>
            <w:tcBorders>
              <w:top w:val="nil"/>
              <w:left w:val="nil"/>
              <w:bottom w:val="single" w:sz="4" w:space="0" w:color="BFBFBF"/>
              <w:right w:val="single" w:sz="8" w:space="0" w:color="BFBFBF"/>
            </w:tcBorders>
            <w:shd w:val="clear" w:color="auto" w:fill="auto"/>
            <w:vAlign w:val="center"/>
            <w:hideMark/>
          </w:tcPr>
          <w:p w14:paraId="4B0F1FE8"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18,4%</w:t>
            </w:r>
          </w:p>
        </w:tc>
        <w:tc>
          <w:tcPr>
            <w:tcW w:w="822" w:type="pct"/>
            <w:tcBorders>
              <w:top w:val="nil"/>
              <w:left w:val="nil"/>
              <w:bottom w:val="single" w:sz="4" w:space="0" w:color="BFBFBF"/>
              <w:right w:val="single" w:sz="4" w:space="0" w:color="BFBFBF"/>
            </w:tcBorders>
            <w:shd w:val="clear" w:color="auto" w:fill="auto"/>
            <w:vAlign w:val="center"/>
            <w:hideMark/>
          </w:tcPr>
          <w:p w14:paraId="1E47D9A1"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 xml:space="preserve">$ 29.353.123.109 </w:t>
            </w:r>
          </w:p>
        </w:tc>
        <w:tc>
          <w:tcPr>
            <w:tcW w:w="564" w:type="pct"/>
            <w:tcBorders>
              <w:top w:val="nil"/>
              <w:left w:val="nil"/>
              <w:bottom w:val="single" w:sz="4" w:space="0" w:color="BFBFBF"/>
              <w:right w:val="single" w:sz="8" w:space="0" w:color="BFBFBF"/>
            </w:tcBorders>
            <w:shd w:val="clear" w:color="auto" w:fill="auto"/>
            <w:vAlign w:val="center"/>
            <w:hideMark/>
          </w:tcPr>
          <w:p w14:paraId="4574C0DE"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14,5%</w:t>
            </w:r>
          </w:p>
        </w:tc>
        <w:tc>
          <w:tcPr>
            <w:tcW w:w="822" w:type="pct"/>
            <w:tcBorders>
              <w:top w:val="nil"/>
              <w:left w:val="nil"/>
              <w:bottom w:val="single" w:sz="4" w:space="0" w:color="BFBFBF"/>
              <w:right w:val="single" w:sz="4" w:space="0" w:color="BFBFBF"/>
            </w:tcBorders>
            <w:shd w:val="clear" w:color="auto" w:fill="auto"/>
            <w:vAlign w:val="center"/>
            <w:hideMark/>
          </w:tcPr>
          <w:p w14:paraId="2B17D426" w14:textId="3229D730"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$27.971.057.159 </w:t>
            </w:r>
          </w:p>
        </w:tc>
        <w:tc>
          <w:tcPr>
            <w:tcW w:w="564" w:type="pct"/>
            <w:tcBorders>
              <w:top w:val="nil"/>
              <w:left w:val="nil"/>
              <w:bottom w:val="single" w:sz="4" w:space="0" w:color="BFBFBF"/>
              <w:right w:val="single" w:sz="8" w:space="0" w:color="BFBFBF"/>
            </w:tcBorders>
            <w:shd w:val="clear" w:color="auto" w:fill="auto"/>
            <w:vAlign w:val="center"/>
            <w:hideMark/>
          </w:tcPr>
          <w:p w14:paraId="4C3284EE"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13,9%</w:t>
            </w:r>
          </w:p>
        </w:tc>
      </w:tr>
      <w:tr w:rsidR="00DD6F85" w:rsidRPr="00DD6F85" w14:paraId="05283843" w14:textId="77777777" w:rsidTr="00C1558B">
        <w:trPr>
          <w:trHeight w:val="330"/>
        </w:trPr>
        <w:tc>
          <w:tcPr>
            <w:tcW w:w="842" w:type="pct"/>
            <w:tcBorders>
              <w:top w:val="nil"/>
              <w:left w:val="single" w:sz="8" w:space="0" w:color="BFBFBF"/>
              <w:bottom w:val="single" w:sz="4" w:space="0" w:color="BFBFBF"/>
              <w:right w:val="nil"/>
            </w:tcBorders>
            <w:shd w:val="clear" w:color="auto" w:fill="auto"/>
            <w:vAlign w:val="center"/>
            <w:hideMark/>
          </w:tcPr>
          <w:p w14:paraId="495A000F"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Transferencias corrientes</w:t>
            </w:r>
          </w:p>
        </w:tc>
        <w:tc>
          <w:tcPr>
            <w:tcW w:w="822" w:type="pct"/>
            <w:tcBorders>
              <w:top w:val="nil"/>
              <w:left w:val="single" w:sz="8" w:space="0" w:color="BFBFBF"/>
              <w:bottom w:val="single" w:sz="4" w:space="0" w:color="BFBFBF"/>
              <w:right w:val="single" w:sz="4" w:space="0" w:color="BFBFBF"/>
            </w:tcBorders>
            <w:shd w:val="clear" w:color="auto" w:fill="auto"/>
            <w:vAlign w:val="center"/>
            <w:hideMark/>
          </w:tcPr>
          <w:p w14:paraId="1CC124D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w:t>
            </w:r>
          </w:p>
        </w:tc>
        <w:tc>
          <w:tcPr>
            <w:tcW w:w="564" w:type="pct"/>
            <w:tcBorders>
              <w:top w:val="nil"/>
              <w:left w:val="nil"/>
              <w:bottom w:val="single" w:sz="4" w:space="0" w:color="BFBFBF"/>
              <w:right w:val="single" w:sz="8" w:space="0" w:color="BFBFBF"/>
            </w:tcBorders>
            <w:shd w:val="clear" w:color="auto" w:fill="auto"/>
            <w:vAlign w:val="center"/>
            <w:hideMark/>
          </w:tcPr>
          <w:p w14:paraId="38AEA9A4" w14:textId="6058CA10" w:rsidR="00DD6F85" w:rsidRPr="00DD6F85" w:rsidRDefault="00DD6F85" w:rsidP="00EA7D22">
            <w:pPr>
              <w:spacing w:line="220" w:lineRule="exact"/>
              <w:jc w:val="right"/>
              <w:rPr>
                <w:rFonts w:eastAsia="Times New Roman" w:cs="Calibri"/>
                <w:color w:val="000000"/>
                <w:sz w:val="22"/>
                <w:szCs w:val="22"/>
                <w:lang w:val="es-CO" w:eastAsia="es-CO"/>
              </w:rPr>
            </w:pPr>
          </w:p>
        </w:tc>
        <w:tc>
          <w:tcPr>
            <w:tcW w:w="822" w:type="pct"/>
            <w:tcBorders>
              <w:top w:val="nil"/>
              <w:left w:val="nil"/>
              <w:bottom w:val="single" w:sz="4" w:space="0" w:color="BFBFBF"/>
              <w:right w:val="single" w:sz="4" w:space="0" w:color="BFBFBF"/>
            </w:tcBorders>
            <w:shd w:val="clear" w:color="auto" w:fill="auto"/>
            <w:vAlign w:val="center"/>
            <w:hideMark/>
          </w:tcPr>
          <w:p w14:paraId="1FAEBD2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$ 1.046.150.600 </w:t>
            </w:r>
          </w:p>
        </w:tc>
        <w:tc>
          <w:tcPr>
            <w:tcW w:w="564" w:type="pct"/>
            <w:tcBorders>
              <w:top w:val="nil"/>
              <w:left w:val="nil"/>
              <w:bottom w:val="single" w:sz="4" w:space="0" w:color="BFBFBF"/>
              <w:right w:val="single" w:sz="8" w:space="0" w:color="BFBFBF"/>
            </w:tcBorders>
            <w:shd w:val="clear" w:color="auto" w:fill="auto"/>
            <w:vAlign w:val="center"/>
            <w:hideMark/>
          </w:tcPr>
          <w:p w14:paraId="0D9AC946"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0,5%</w:t>
            </w:r>
          </w:p>
        </w:tc>
        <w:tc>
          <w:tcPr>
            <w:tcW w:w="822" w:type="pct"/>
            <w:tcBorders>
              <w:top w:val="nil"/>
              <w:left w:val="nil"/>
              <w:bottom w:val="single" w:sz="4" w:space="0" w:color="BFBFBF"/>
              <w:right w:val="single" w:sz="4" w:space="0" w:color="BFBFBF"/>
            </w:tcBorders>
            <w:shd w:val="clear" w:color="auto" w:fill="auto"/>
            <w:vAlign w:val="center"/>
            <w:hideMark/>
          </w:tcPr>
          <w:p w14:paraId="062848F1" w14:textId="0A3124EE"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$932.700.000 </w:t>
            </w:r>
          </w:p>
        </w:tc>
        <w:tc>
          <w:tcPr>
            <w:tcW w:w="564" w:type="pct"/>
            <w:tcBorders>
              <w:top w:val="nil"/>
              <w:left w:val="nil"/>
              <w:bottom w:val="single" w:sz="4" w:space="0" w:color="BFBFBF"/>
              <w:right w:val="single" w:sz="8" w:space="0" w:color="BFBFBF"/>
            </w:tcBorders>
            <w:shd w:val="clear" w:color="auto" w:fill="auto"/>
            <w:vAlign w:val="center"/>
            <w:hideMark/>
          </w:tcPr>
          <w:p w14:paraId="5282F61A"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0,5%</w:t>
            </w:r>
          </w:p>
        </w:tc>
      </w:tr>
      <w:tr w:rsidR="00DD6F85" w:rsidRPr="00DD6F85" w14:paraId="03AB9B5B" w14:textId="77777777" w:rsidTr="00C1558B">
        <w:trPr>
          <w:trHeight w:val="330"/>
        </w:trPr>
        <w:tc>
          <w:tcPr>
            <w:tcW w:w="842" w:type="pct"/>
            <w:tcBorders>
              <w:top w:val="nil"/>
              <w:left w:val="single" w:sz="8" w:space="0" w:color="BFBFBF"/>
              <w:bottom w:val="single" w:sz="4" w:space="0" w:color="BFBFBF"/>
              <w:right w:val="nil"/>
            </w:tcBorders>
            <w:shd w:val="clear" w:color="auto" w:fill="auto"/>
            <w:vAlign w:val="center"/>
            <w:hideMark/>
          </w:tcPr>
          <w:p w14:paraId="73031CA2"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Cuota de auditaje</w:t>
            </w:r>
          </w:p>
        </w:tc>
        <w:tc>
          <w:tcPr>
            <w:tcW w:w="822" w:type="pct"/>
            <w:tcBorders>
              <w:top w:val="nil"/>
              <w:left w:val="single" w:sz="8" w:space="0" w:color="BFBFBF"/>
              <w:bottom w:val="single" w:sz="4" w:space="0" w:color="BFBFBF"/>
              <w:right w:val="single" w:sz="4" w:space="0" w:color="BFBFBF"/>
            </w:tcBorders>
            <w:shd w:val="clear" w:color="auto" w:fill="auto"/>
            <w:vAlign w:val="center"/>
            <w:hideMark/>
          </w:tcPr>
          <w:p w14:paraId="596E58D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w:t>
            </w:r>
          </w:p>
        </w:tc>
        <w:tc>
          <w:tcPr>
            <w:tcW w:w="564" w:type="pct"/>
            <w:tcBorders>
              <w:top w:val="nil"/>
              <w:left w:val="nil"/>
              <w:bottom w:val="single" w:sz="4" w:space="0" w:color="BFBFBF"/>
              <w:right w:val="single" w:sz="8" w:space="0" w:color="BFBFBF"/>
            </w:tcBorders>
            <w:shd w:val="clear" w:color="auto" w:fill="auto"/>
            <w:vAlign w:val="center"/>
            <w:hideMark/>
          </w:tcPr>
          <w:p w14:paraId="79529F18" w14:textId="10E02F9E" w:rsidR="00DD6F85" w:rsidRPr="00DD6F85" w:rsidRDefault="00DD6F85" w:rsidP="00EA7D22">
            <w:pPr>
              <w:spacing w:line="220" w:lineRule="exact"/>
              <w:jc w:val="right"/>
              <w:rPr>
                <w:rFonts w:eastAsia="Times New Roman" w:cs="Calibri"/>
                <w:color w:val="000000"/>
                <w:sz w:val="22"/>
                <w:szCs w:val="22"/>
                <w:lang w:val="es-CO" w:eastAsia="es-CO"/>
              </w:rPr>
            </w:pPr>
          </w:p>
        </w:tc>
        <w:tc>
          <w:tcPr>
            <w:tcW w:w="822" w:type="pct"/>
            <w:tcBorders>
              <w:top w:val="nil"/>
              <w:left w:val="nil"/>
              <w:bottom w:val="single" w:sz="4" w:space="0" w:color="BFBFBF"/>
              <w:right w:val="single" w:sz="4" w:space="0" w:color="BFBFBF"/>
            </w:tcBorders>
            <w:shd w:val="clear" w:color="auto" w:fill="auto"/>
            <w:vAlign w:val="center"/>
            <w:hideMark/>
          </w:tcPr>
          <w:p w14:paraId="71AE5300"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noProof/>
                <w:color w:val="000000"/>
                <w:sz w:val="22"/>
                <w:szCs w:val="22"/>
                <w:lang w:val="es-CO" w:eastAsia="es-CO"/>
              </w:rPr>
              <w:t xml:space="preserve">$ 403.407.808 </w:t>
            </w:r>
          </w:p>
        </w:tc>
        <w:tc>
          <w:tcPr>
            <w:tcW w:w="564" w:type="pct"/>
            <w:tcBorders>
              <w:top w:val="nil"/>
              <w:left w:val="nil"/>
              <w:bottom w:val="single" w:sz="4" w:space="0" w:color="BFBFBF"/>
              <w:right w:val="single" w:sz="8" w:space="0" w:color="BFBFBF"/>
            </w:tcBorders>
            <w:shd w:val="clear" w:color="auto" w:fill="auto"/>
            <w:vAlign w:val="center"/>
            <w:hideMark/>
          </w:tcPr>
          <w:p w14:paraId="47B32DCC"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0,2%</w:t>
            </w:r>
          </w:p>
        </w:tc>
        <w:tc>
          <w:tcPr>
            <w:tcW w:w="822" w:type="pct"/>
            <w:tcBorders>
              <w:top w:val="nil"/>
              <w:left w:val="nil"/>
              <w:bottom w:val="single" w:sz="4" w:space="0" w:color="BFBFBF"/>
              <w:right w:val="single" w:sz="4" w:space="0" w:color="BFBFBF"/>
            </w:tcBorders>
            <w:shd w:val="clear" w:color="auto" w:fill="auto"/>
            <w:vAlign w:val="center"/>
            <w:hideMark/>
          </w:tcPr>
          <w:p w14:paraId="3FF0BC42" w14:textId="50B39396" w:rsidR="00DD6F85" w:rsidRPr="00DD6F85" w:rsidRDefault="00094116" w:rsidP="00EA7D22">
            <w:pPr>
              <w:spacing w:line="220" w:lineRule="exact"/>
              <w:jc w:val="right"/>
              <w:rPr>
                <w:rFonts w:eastAsia="Times New Roman" w:cs="Calibri"/>
                <w:color w:val="000000"/>
                <w:sz w:val="22"/>
                <w:szCs w:val="22"/>
                <w:lang w:val="es-CO" w:eastAsia="es-CO"/>
              </w:rPr>
            </w:pPr>
            <w:r>
              <w:rPr>
                <w:rFonts w:eastAsia="Times New Roman" w:cs="Calibri"/>
                <w:color w:val="000000"/>
                <w:sz w:val="22"/>
                <w:szCs w:val="22"/>
                <w:lang w:val="es-CO" w:eastAsia="es-CO"/>
              </w:rPr>
              <w:t>$</w:t>
            </w:r>
            <w:r w:rsidR="00DD6F85" w:rsidRPr="00DD6F85">
              <w:rPr>
                <w:rFonts w:eastAsia="Times New Roman" w:cs="Calibri"/>
                <w:color w:val="000000"/>
                <w:sz w:val="22"/>
                <w:szCs w:val="22"/>
                <w:lang w:val="es-CO" w:eastAsia="es-CO"/>
              </w:rPr>
              <w:t xml:space="preserve">284.000.000 </w:t>
            </w:r>
          </w:p>
        </w:tc>
        <w:tc>
          <w:tcPr>
            <w:tcW w:w="564" w:type="pct"/>
            <w:tcBorders>
              <w:top w:val="nil"/>
              <w:left w:val="nil"/>
              <w:bottom w:val="single" w:sz="4" w:space="0" w:color="BFBFBF"/>
              <w:right w:val="single" w:sz="8" w:space="0" w:color="BFBFBF"/>
            </w:tcBorders>
            <w:shd w:val="clear" w:color="auto" w:fill="auto"/>
            <w:vAlign w:val="center"/>
            <w:hideMark/>
          </w:tcPr>
          <w:p w14:paraId="1172FEF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0,1%</w:t>
            </w:r>
          </w:p>
        </w:tc>
      </w:tr>
      <w:tr w:rsidR="00DD6F85" w:rsidRPr="00DD6F85" w14:paraId="035A66CC" w14:textId="77777777" w:rsidTr="00C1558B">
        <w:trPr>
          <w:trHeight w:val="345"/>
        </w:trPr>
        <w:tc>
          <w:tcPr>
            <w:tcW w:w="842" w:type="pct"/>
            <w:tcBorders>
              <w:top w:val="nil"/>
              <w:left w:val="single" w:sz="8" w:space="0" w:color="BFBFBF"/>
              <w:bottom w:val="single" w:sz="4" w:space="0" w:color="BFBFBF"/>
              <w:right w:val="nil"/>
            </w:tcBorders>
            <w:shd w:val="clear" w:color="000000" w:fill="D9E1F2"/>
            <w:vAlign w:val="center"/>
            <w:hideMark/>
          </w:tcPr>
          <w:p w14:paraId="697394D3" w14:textId="77777777" w:rsidR="00DD6F85" w:rsidRPr="00DD6F85" w:rsidRDefault="00DD6F85" w:rsidP="00EA7D22">
            <w:pPr>
              <w:spacing w:line="220" w:lineRule="exact"/>
              <w:rPr>
                <w:rFonts w:eastAsia="Times New Roman" w:cs="Calibri"/>
                <w:b/>
                <w:bCs/>
                <w:sz w:val="22"/>
                <w:szCs w:val="22"/>
                <w:lang w:val="es-CO" w:eastAsia="es-CO"/>
              </w:rPr>
            </w:pPr>
            <w:r w:rsidRPr="00DD6F85">
              <w:rPr>
                <w:rFonts w:eastAsia="Times New Roman" w:cs="Calibri"/>
                <w:b/>
                <w:bCs/>
                <w:sz w:val="22"/>
                <w:szCs w:val="22"/>
                <w:lang w:val="es-CO" w:eastAsia="es-CO"/>
              </w:rPr>
              <w:t>Inversión</w:t>
            </w:r>
          </w:p>
        </w:tc>
        <w:tc>
          <w:tcPr>
            <w:tcW w:w="822" w:type="pct"/>
            <w:tcBorders>
              <w:top w:val="nil"/>
              <w:left w:val="single" w:sz="8" w:space="0" w:color="BFBFBF"/>
              <w:bottom w:val="single" w:sz="4" w:space="0" w:color="BFBFBF"/>
              <w:right w:val="single" w:sz="4" w:space="0" w:color="BFBFBF"/>
            </w:tcBorders>
            <w:shd w:val="clear" w:color="000000" w:fill="D9E1F2"/>
            <w:vAlign w:val="center"/>
            <w:hideMark/>
          </w:tcPr>
          <w:p w14:paraId="12214749" w14:textId="6926F266" w:rsidR="00DD6F85" w:rsidRPr="00DD6F85" w:rsidRDefault="00094116" w:rsidP="00EA7D22">
            <w:pPr>
              <w:spacing w:line="220" w:lineRule="exact"/>
              <w:jc w:val="right"/>
              <w:rPr>
                <w:rFonts w:eastAsia="Times New Roman" w:cs="Calibri"/>
                <w:b/>
                <w:bCs/>
                <w:sz w:val="22"/>
                <w:szCs w:val="22"/>
                <w:lang w:val="es-CO" w:eastAsia="es-CO"/>
              </w:rPr>
            </w:pPr>
            <w:r>
              <w:rPr>
                <w:rFonts w:eastAsia="Times New Roman" w:cs="Calibri"/>
                <w:b/>
                <w:bCs/>
                <w:sz w:val="22"/>
                <w:szCs w:val="22"/>
                <w:lang w:val="es-CO" w:eastAsia="es-CO"/>
              </w:rPr>
              <w:t>$</w:t>
            </w:r>
            <w:r w:rsidR="00DD6F85" w:rsidRPr="00DD6F85">
              <w:rPr>
                <w:rFonts w:eastAsia="Times New Roman" w:cs="Calibri"/>
                <w:b/>
                <w:bCs/>
                <w:sz w:val="22"/>
                <w:szCs w:val="22"/>
                <w:lang w:val="es-CO" w:eastAsia="es-CO"/>
              </w:rPr>
              <w:t>21.884.891.604</w:t>
            </w:r>
          </w:p>
        </w:tc>
        <w:tc>
          <w:tcPr>
            <w:tcW w:w="564" w:type="pct"/>
            <w:tcBorders>
              <w:top w:val="nil"/>
              <w:left w:val="nil"/>
              <w:bottom w:val="single" w:sz="4" w:space="0" w:color="BFBFBF"/>
              <w:right w:val="single" w:sz="8" w:space="0" w:color="BFBFBF"/>
            </w:tcBorders>
            <w:shd w:val="clear" w:color="000000" w:fill="D9E1F2"/>
            <w:vAlign w:val="center"/>
            <w:hideMark/>
          </w:tcPr>
          <w:p w14:paraId="21B86CD3" w14:textId="77777777"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16,5%</w:t>
            </w:r>
          </w:p>
        </w:tc>
        <w:tc>
          <w:tcPr>
            <w:tcW w:w="822" w:type="pct"/>
            <w:tcBorders>
              <w:top w:val="nil"/>
              <w:left w:val="nil"/>
              <w:bottom w:val="single" w:sz="4" w:space="0" w:color="BFBFBF"/>
              <w:right w:val="single" w:sz="4" w:space="0" w:color="BFBFBF"/>
            </w:tcBorders>
            <w:shd w:val="clear" w:color="000000" w:fill="D9E1F2"/>
            <w:vAlign w:val="center"/>
            <w:hideMark/>
          </w:tcPr>
          <w:p w14:paraId="3B33A20F" w14:textId="5909D46B" w:rsidR="00DD6F85" w:rsidRPr="00DD6F85" w:rsidRDefault="00094116" w:rsidP="00EA7D22">
            <w:pPr>
              <w:spacing w:line="220" w:lineRule="exact"/>
              <w:jc w:val="right"/>
              <w:rPr>
                <w:rFonts w:eastAsia="Times New Roman" w:cs="Calibri"/>
                <w:b/>
                <w:bCs/>
                <w:sz w:val="22"/>
                <w:szCs w:val="22"/>
                <w:lang w:val="es-CO" w:eastAsia="es-CO"/>
              </w:rPr>
            </w:pPr>
            <w:r>
              <w:rPr>
                <w:rFonts w:eastAsia="Times New Roman" w:cs="Calibri"/>
                <w:b/>
                <w:bCs/>
                <w:sz w:val="22"/>
                <w:szCs w:val="22"/>
                <w:lang w:val="es-CO" w:eastAsia="es-CO"/>
              </w:rPr>
              <w:t>$</w:t>
            </w:r>
            <w:r w:rsidR="00DD6F85" w:rsidRPr="00DD6F85">
              <w:rPr>
                <w:rFonts w:eastAsia="Times New Roman" w:cs="Calibri"/>
                <w:b/>
                <w:bCs/>
                <w:sz w:val="22"/>
                <w:szCs w:val="22"/>
                <w:lang w:val="es-CO" w:eastAsia="es-CO"/>
              </w:rPr>
              <w:t>82.477.847.651</w:t>
            </w:r>
          </w:p>
        </w:tc>
        <w:tc>
          <w:tcPr>
            <w:tcW w:w="564" w:type="pct"/>
            <w:tcBorders>
              <w:top w:val="nil"/>
              <w:left w:val="nil"/>
              <w:bottom w:val="single" w:sz="4" w:space="0" w:color="BFBFBF"/>
              <w:right w:val="single" w:sz="8" w:space="0" w:color="BFBFBF"/>
            </w:tcBorders>
            <w:shd w:val="clear" w:color="000000" w:fill="D9E1F2"/>
            <w:vAlign w:val="center"/>
            <w:hideMark/>
          </w:tcPr>
          <w:p w14:paraId="46DCF742" w14:textId="77777777" w:rsidR="00DD6F85" w:rsidRPr="00DD6F85" w:rsidRDefault="00DD6F85" w:rsidP="00EA7D22">
            <w:pPr>
              <w:spacing w:line="220" w:lineRule="exact"/>
              <w:jc w:val="right"/>
              <w:rPr>
                <w:rFonts w:eastAsia="Times New Roman" w:cs="Calibri"/>
                <w:b/>
                <w:bCs/>
                <w:sz w:val="22"/>
                <w:szCs w:val="22"/>
                <w:lang w:val="es-CO" w:eastAsia="es-CO"/>
              </w:rPr>
            </w:pPr>
            <w:r w:rsidRPr="00DD6F85">
              <w:rPr>
                <w:rFonts w:eastAsia="Times New Roman" w:cs="Calibri"/>
                <w:b/>
                <w:bCs/>
                <w:sz w:val="22"/>
                <w:szCs w:val="22"/>
                <w:lang w:val="es-CO" w:eastAsia="es-CO"/>
              </w:rPr>
              <w:t>29,0%</w:t>
            </w:r>
          </w:p>
        </w:tc>
        <w:tc>
          <w:tcPr>
            <w:tcW w:w="822" w:type="pct"/>
            <w:tcBorders>
              <w:top w:val="nil"/>
              <w:left w:val="nil"/>
              <w:bottom w:val="single" w:sz="4" w:space="0" w:color="BFBFBF"/>
              <w:right w:val="single" w:sz="4" w:space="0" w:color="BFBFBF"/>
            </w:tcBorders>
            <w:shd w:val="clear" w:color="000000" w:fill="D9E1F2"/>
            <w:vAlign w:val="center"/>
            <w:hideMark/>
          </w:tcPr>
          <w:p w14:paraId="260688B4" w14:textId="1431CF57" w:rsidR="00DD6F85" w:rsidRPr="00DD6F85" w:rsidRDefault="00094116" w:rsidP="00EA7D22">
            <w:pPr>
              <w:spacing w:line="220" w:lineRule="exact"/>
              <w:jc w:val="right"/>
              <w:rPr>
                <w:rFonts w:eastAsia="Times New Roman" w:cs="Calibri"/>
                <w:b/>
                <w:bCs/>
                <w:sz w:val="22"/>
                <w:szCs w:val="22"/>
                <w:lang w:val="es-CO" w:eastAsia="es-CO"/>
              </w:rPr>
            </w:pPr>
            <w:r>
              <w:rPr>
                <w:rFonts w:eastAsia="Times New Roman" w:cs="Calibri"/>
                <w:b/>
                <w:bCs/>
                <w:sz w:val="22"/>
                <w:szCs w:val="22"/>
                <w:lang w:val="es-CO" w:eastAsia="es-CO"/>
              </w:rPr>
              <w:t>$</w:t>
            </w:r>
            <w:r w:rsidR="00DD6F85" w:rsidRPr="00DD6F85">
              <w:rPr>
                <w:rFonts w:eastAsia="Times New Roman" w:cs="Calibri"/>
                <w:b/>
                <w:bCs/>
                <w:sz w:val="22"/>
                <w:szCs w:val="22"/>
                <w:lang w:val="es-CO" w:eastAsia="es-CO"/>
              </w:rPr>
              <w:t>115.136.795.183</w:t>
            </w:r>
          </w:p>
        </w:tc>
        <w:tc>
          <w:tcPr>
            <w:tcW w:w="564" w:type="pct"/>
            <w:tcBorders>
              <w:top w:val="nil"/>
              <w:left w:val="nil"/>
              <w:bottom w:val="single" w:sz="4" w:space="0" w:color="BFBFBF"/>
              <w:right w:val="single" w:sz="8" w:space="0" w:color="BFBFBF"/>
            </w:tcBorders>
            <w:shd w:val="clear" w:color="000000" w:fill="D9E1F2"/>
            <w:vAlign w:val="center"/>
            <w:hideMark/>
          </w:tcPr>
          <w:p w14:paraId="63B7202E" w14:textId="3FAE8B29" w:rsidR="00DD6F85" w:rsidRPr="00DD6F85" w:rsidRDefault="00906D72" w:rsidP="00EA7D22">
            <w:pPr>
              <w:spacing w:line="220" w:lineRule="exact"/>
              <w:jc w:val="right"/>
              <w:rPr>
                <w:rFonts w:eastAsia="Times New Roman" w:cs="Calibri"/>
                <w:b/>
                <w:bCs/>
                <w:sz w:val="22"/>
                <w:szCs w:val="22"/>
                <w:lang w:val="es-CO" w:eastAsia="es-CO"/>
              </w:rPr>
            </w:pPr>
            <w:r>
              <w:rPr>
                <w:rFonts w:eastAsia="Times New Roman" w:cs="Calibri"/>
                <w:b/>
                <w:bCs/>
                <w:sz w:val="22"/>
                <w:szCs w:val="22"/>
                <w:lang w:val="es-CO" w:eastAsia="es-CO"/>
              </w:rPr>
              <w:t>36</w:t>
            </w:r>
            <w:r w:rsidR="00DD6F85" w:rsidRPr="00DD6F85">
              <w:rPr>
                <w:rFonts w:eastAsia="Times New Roman" w:cs="Calibri"/>
                <w:b/>
                <w:bCs/>
                <w:sz w:val="22"/>
                <w:szCs w:val="22"/>
                <w:lang w:val="es-CO" w:eastAsia="es-CO"/>
              </w:rPr>
              <w:t>,</w:t>
            </w:r>
            <w:r>
              <w:rPr>
                <w:rFonts w:eastAsia="Times New Roman" w:cs="Calibri"/>
                <w:b/>
                <w:bCs/>
                <w:sz w:val="22"/>
                <w:szCs w:val="22"/>
                <w:lang w:val="es-CO" w:eastAsia="es-CO"/>
              </w:rPr>
              <w:t>4</w:t>
            </w:r>
            <w:r w:rsidR="00DD6F85" w:rsidRPr="00DD6F85">
              <w:rPr>
                <w:rFonts w:eastAsia="Times New Roman" w:cs="Calibri"/>
                <w:b/>
                <w:bCs/>
                <w:sz w:val="22"/>
                <w:szCs w:val="22"/>
                <w:lang w:val="es-CO" w:eastAsia="es-CO"/>
              </w:rPr>
              <w:t>%</w:t>
            </w:r>
          </w:p>
        </w:tc>
      </w:tr>
      <w:tr w:rsidR="00DD6F85" w:rsidRPr="00DD6F85" w14:paraId="36E35811" w14:textId="77777777" w:rsidTr="00C1558B">
        <w:trPr>
          <w:trHeight w:val="330"/>
        </w:trPr>
        <w:tc>
          <w:tcPr>
            <w:tcW w:w="842" w:type="pct"/>
            <w:tcBorders>
              <w:top w:val="nil"/>
              <w:left w:val="single" w:sz="8" w:space="0" w:color="BFBFBF"/>
              <w:bottom w:val="single" w:sz="4" w:space="0" w:color="BFBFBF"/>
              <w:right w:val="nil"/>
            </w:tcBorders>
            <w:shd w:val="clear" w:color="auto" w:fill="auto"/>
            <w:vAlign w:val="center"/>
            <w:hideMark/>
          </w:tcPr>
          <w:p w14:paraId="3E264AAB"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Proyectos de inversión</w:t>
            </w:r>
          </w:p>
        </w:tc>
        <w:tc>
          <w:tcPr>
            <w:tcW w:w="822" w:type="pct"/>
            <w:tcBorders>
              <w:top w:val="nil"/>
              <w:left w:val="single" w:sz="8" w:space="0" w:color="BFBFBF"/>
              <w:bottom w:val="single" w:sz="4" w:space="0" w:color="BFBFBF"/>
              <w:right w:val="single" w:sz="4" w:space="0" w:color="BFBFBF"/>
            </w:tcBorders>
            <w:shd w:val="clear" w:color="auto" w:fill="auto"/>
            <w:vAlign w:val="center"/>
            <w:hideMark/>
          </w:tcPr>
          <w:p w14:paraId="5E0B628D" w14:textId="162E119E" w:rsidR="00DD6F85" w:rsidRPr="00DD6F85" w:rsidRDefault="00094116" w:rsidP="00EA7D22">
            <w:pPr>
              <w:spacing w:line="220" w:lineRule="exact"/>
              <w:jc w:val="right"/>
              <w:rPr>
                <w:rFonts w:eastAsia="Times New Roman" w:cs="Calibri"/>
                <w:color w:val="000000"/>
                <w:sz w:val="22"/>
                <w:szCs w:val="22"/>
                <w:lang w:val="es-CO" w:eastAsia="es-CO"/>
              </w:rPr>
            </w:pPr>
            <w:r>
              <w:rPr>
                <w:rFonts w:eastAsia="Times New Roman" w:cs="Calibri"/>
                <w:color w:val="000000"/>
                <w:sz w:val="22"/>
                <w:szCs w:val="22"/>
                <w:lang w:val="es-CO" w:eastAsia="es-CO"/>
              </w:rPr>
              <w:t>$</w:t>
            </w:r>
            <w:r w:rsidR="00DD6F85" w:rsidRPr="00DD6F85">
              <w:rPr>
                <w:rFonts w:eastAsia="Times New Roman" w:cs="Calibri"/>
                <w:color w:val="000000"/>
                <w:sz w:val="22"/>
                <w:szCs w:val="22"/>
                <w:lang w:val="es-CO" w:eastAsia="es-CO"/>
              </w:rPr>
              <w:t>21.884.891.604</w:t>
            </w:r>
          </w:p>
        </w:tc>
        <w:tc>
          <w:tcPr>
            <w:tcW w:w="564" w:type="pct"/>
            <w:tcBorders>
              <w:top w:val="nil"/>
              <w:left w:val="nil"/>
              <w:bottom w:val="single" w:sz="4" w:space="0" w:color="BFBFBF"/>
              <w:right w:val="single" w:sz="8" w:space="0" w:color="BFBFBF"/>
            </w:tcBorders>
            <w:shd w:val="clear" w:color="auto" w:fill="auto"/>
            <w:vAlign w:val="center"/>
            <w:hideMark/>
          </w:tcPr>
          <w:p w14:paraId="75D0B2A8"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100,0%</w:t>
            </w:r>
          </w:p>
        </w:tc>
        <w:tc>
          <w:tcPr>
            <w:tcW w:w="822" w:type="pct"/>
            <w:tcBorders>
              <w:top w:val="nil"/>
              <w:left w:val="nil"/>
              <w:bottom w:val="single" w:sz="4" w:space="0" w:color="BFBFBF"/>
              <w:right w:val="single" w:sz="4" w:space="0" w:color="BFBFBF"/>
            </w:tcBorders>
            <w:shd w:val="clear" w:color="auto" w:fill="auto"/>
            <w:vAlign w:val="center"/>
            <w:hideMark/>
          </w:tcPr>
          <w:p w14:paraId="6262C566"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 xml:space="preserve">$ 82.477.847.651 </w:t>
            </w:r>
          </w:p>
        </w:tc>
        <w:tc>
          <w:tcPr>
            <w:tcW w:w="564" w:type="pct"/>
            <w:tcBorders>
              <w:top w:val="nil"/>
              <w:left w:val="nil"/>
              <w:bottom w:val="single" w:sz="4" w:space="0" w:color="BFBFBF"/>
              <w:right w:val="single" w:sz="8" w:space="0" w:color="BFBFBF"/>
            </w:tcBorders>
            <w:shd w:val="clear" w:color="auto" w:fill="auto"/>
            <w:vAlign w:val="center"/>
            <w:hideMark/>
          </w:tcPr>
          <w:p w14:paraId="023BC954"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100,0%</w:t>
            </w:r>
          </w:p>
        </w:tc>
        <w:tc>
          <w:tcPr>
            <w:tcW w:w="822" w:type="pct"/>
            <w:tcBorders>
              <w:top w:val="nil"/>
              <w:left w:val="nil"/>
              <w:bottom w:val="single" w:sz="4" w:space="0" w:color="BFBFBF"/>
              <w:right w:val="single" w:sz="4" w:space="0" w:color="BFBFBF"/>
            </w:tcBorders>
            <w:shd w:val="clear" w:color="auto" w:fill="auto"/>
            <w:vAlign w:val="center"/>
            <w:hideMark/>
          </w:tcPr>
          <w:p w14:paraId="4AA744E0" w14:textId="55EBFB05" w:rsidR="00DD6F85" w:rsidRPr="00DD6F85" w:rsidRDefault="00094116" w:rsidP="00EA7D22">
            <w:pPr>
              <w:spacing w:line="220" w:lineRule="exact"/>
              <w:jc w:val="right"/>
              <w:rPr>
                <w:rFonts w:eastAsia="Times New Roman" w:cs="Calibri"/>
                <w:color w:val="000000"/>
                <w:sz w:val="22"/>
                <w:szCs w:val="22"/>
                <w:lang w:val="es-CO" w:eastAsia="es-CO"/>
              </w:rPr>
            </w:pPr>
            <w:r>
              <w:rPr>
                <w:rFonts w:eastAsia="Times New Roman" w:cs="Calibri"/>
                <w:color w:val="000000"/>
                <w:sz w:val="22"/>
                <w:szCs w:val="22"/>
                <w:lang w:val="es-CO" w:eastAsia="es-CO"/>
              </w:rPr>
              <w:t>$</w:t>
            </w:r>
            <w:r w:rsidR="00DD6F85" w:rsidRPr="00DD6F85">
              <w:rPr>
                <w:rFonts w:eastAsia="Times New Roman" w:cs="Calibri"/>
                <w:color w:val="000000"/>
                <w:sz w:val="22"/>
                <w:szCs w:val="22"/>
                <w:lang w:val="es-CO" w:eastAsia="es-CO"/>
              </w:rPr>
              <w:t>115.136.795.183</w:t>
            </w:r>
          </w:p>
        </w:tc>
        <w:tc>
          <w:tcPr>
            <w:tcW w:w="564" w:type="pct"/>
            <w:tcBorders>
              <w:top w:val="nil"/>
              <w:left w:val="nil"/>
              <w:bottom w:val="single" w:sz="4" w:space="0" w:color="BFBFBF"/>
              <w:right w:val="single" w:sz="8" w:space="0" w:color="BFBFBF"/>
            </w:tcBorders>
            <w:shd w:val="clear" w:color="auto" w:fill="auto"/>
            <w:vAlign w:val="center"/>
            <w:hideMark/>
          </w:tcPr>
          <w:p w14:paraId="0E0A2969" w14:textId="77777777" w:rsidR="00DD6F85" w:rsidRPr="00DD6F85" w:rsidRDefault="00DD6F85" w:rsidP="00EA7D22">
            <w:pPr>
              <w:spacing w:line="220" w:lineRule="exact"/>
              <w:jc w:val="right"/>
              <w:rPr>
                <w:rFonts w:eastAsia="Times New Roman" w:cs="Calibri"/>
                <w:color w:val="000000"/>
                <w:sz w:val="22"/>
                <w:szCs w:val="22"/>
                <w:lang w:val="es-CO" w:eastAsia="es-CO"/>
              </w:rPr>
            </w:pPr>
            <w:r w:rsidRPr="00DD6F85">
              <w:rPr>
                <w:rFonts w:eastAsia="Times New Roman" w:cs="Calibri"/>
                <w:color w:val="000000"/>
                <w:sz w:val="22"/>
                <w:szCs w:val="22"/>
                <w:lang w:val="es-CO" w:eastAsia="es-CO"/>
              </w:rPr>
              <w:t>100,0%</w:t>
            </w:r>
          </w:p>
        </w:tc>
      </w:tr>
      <w:tr w:rsidR="00DD6F85" w:rsidRPr="00DD6F85" w14:paraId="4F616F1F" w14:textId="77777777" w:rsidTr="00C1558B">
        <w:trPr>
          <w:trHeight w:val="360"/>
        </w:trPr>
        <w:tc>
          <w:tcPr>
            <w:tcW w:w="842" w:type="pct"/>
            <w:tcBorders>
              <w:top w:val="nil"/>
              <w:left w:val="single" w:sz="8" w:space="0" w:color="BFBFBF"/>
              <w:bottom w:val="single" w:sz="8" w:space="0" w:color="BFBFBF"/>
              <w:right w:val="nil"/>
            </w:tcBorders>
            <w:shd w:val="clear" w:color="000000" w:fill="002060"/>
            <w:vAlign w:val="center"/>
            <w:hideMark/>
          </w:tcPr>
          <w:p w14:paraId="4AB6637C" w14:textId="7DEA3796"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noProof/>
                <w:color w:val="FFFFFF"/>
                <w:sz w:val="22"/>
                <w:szCs w:val="22"/>
                <w:lang w:val="es-CO" w:eastAsia="es-CO"/>
              </w:rPr>
              <w:t xml:space="preserve">TOTAL </w:t>
            </w:r>
          </w:p>
        </w:tc>
        <w:tc>
          <w:tcPr>
            <w:tcW w:w="822" w:type="pct"/>
            <w:tcBorders>
              <w:top w:val="nil"/>
              <w:left w:val="single" w:sz="8" w:space="0" w:color="BFBFBF"/>
              <w:bottom w:val="single" w:sz="8" w:space="0" w:color="BFBFBF"/>
              <w:right w:val="single" w:sz="4" w:space="0" w:color="BFBFBF"/>
            </w:tcBorders>
            <w:shd w:val="clear" w:color="000000" w:fill="002060"/>
            <w:vAlign w:val="center"/>
            <w:hideMark/>
          </w:tcPr>
          <w:p w14:paraId="521367AF" w14:textId="1D637A44"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noProof/>
                <w:color w:val="FFFFFF"/>
                <w:sz w:val="22"/>
                <w:szCs w:val="22"/>
                <w:lang w:val="es-CO" w:eastAsia="es-CO"/>
              </w:rPr>
              <w:t xml:space="preserve">$132.682.334.450 </w:t>
            </w:r>
          </w:p>
        </w:tc>
        <w:tc>
          <w:tcPr>
            <w:tcW w:w="564" w:type="pct"/>
            <w:tcBorders>
              <w:top w:val="nil"/>
              <w:left w:val="nil"/>
              <w:bottom w:val="single" w:sz="8" w:space="0" w:color="BFBFBF"/>
              <w:right w:val="single" w:sz="8" w:space="0" w:color="BFBFBF"/>
            </w:tcBorders>
            <w:shd w:val="clear" w:color="000000" w:fill="002060"/>
            <w:vAlign w:val="center"/>
            <w:hideMark/>
          </w:tcPr>
          <w:p w14:paraId="4D7D8408"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 </w:t>
            </w:r>
          </w:p>
        </w:tc>
        <w:tc>
          <w:tcPr>
            <w:tcW w:w="822" w:type="pct"/>
            <w:tcBorders>
              <w:top w:val="nil"/>
              <w:left w:val="nil"/>
              <w:bottom w:val="single" w:sz="8" w:space="0" w:color="BFBFBF"/>
              <w:right w:val="single" w:sz="4" w:space="0" w:color="BFBFBF"/>
            </w:tcBorders>
            <w:shd w:val="clear" w:color="000000" w:fill="002060"/>
            <w:vAlign w:val="center"/>
            <w:hideMark/>
          </w:tcPr>
          <w:p w14:paraId="633F107A" w14:textId="0C565773"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noProof/>
                <w:color w:val="FFFFFF"/>
                <w:sz w:val="22"/>
                <w:szCs w:val="22"/>
                <w:lang w:val="es-CO" w:eastAsia="es-CO"/>
              </w:rPr>
              <w:t xml:space="preserve">$284.585.470.760 </w:t>
            </w:r>
          </w:p>
        </w:tc>
        <w:tc>
          <w:tcPr>
            <w:tcW w:w="564" w:type="pct"/>
            <w:tcBorders>
              <w:top w:val="nil"/>
              <w:left w:val="nil"/>
              <w:bottom w:val="single" w:sz="8" w:space="0" w:color="BFBFBF"/>
              <w:right w:val="single" w:sz="8" w:space="0" w:color="BFBFBF"/>
            </w:tcBorders>
            <w:shd w:val="clear" w:color="000000" w:fill="002060"/>
            <w:vAlign w:val="center"/>
            <w:hideMark/>
          </w:tcPr>
          <w:p w14:paraId="056815E7"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 </w:t>
            </w:r>
          </w:p>
        </w:tc>
        <w:tc>
          <w:tcPr>
            <w:tcW w:w="822" w:type="pct"/>
            <w:tcBorders>
              <w:top w:val="nil"/>
              <w:left w:val="nil"/>
              <w:bottom w:val="single" w:sz="8" w:space="0" w:color="BFBFBF"/>
              <w:right w:val="single" w:sz="4" w:space="0" w:color="BFBFBF"/>
            </w:tcBorders>
            <w:shd w:val="clear" w:color="000000" w:fill="002060"/>
            <w:vAlign w:val="center"/>
            <w:hideMark/>
          </w:tcPr>
          <w:p w14:paraId="051D02E2" w14:textId="67659AF6"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noProof/>
                <w:color w:val="FFFFFF"/>
                <w:sz w:val="22"/>
                <w:szCs w:val="22"/>
                <w:lang w:val="es-CO" w:eastAsia="es-CO"/>
              </w:rPr>
              <w:t xml:space="preserve">$316.462.352.342 </w:t>
            </w:r>
          </w:p>
        </w:tc>
        <w:tc>
          <w:tcPr>
            <w:tcW w:w="564" w:type="pct"/>
            <w:tcBorders>
              <w:top w:val="nil"/>
              <w:left w:val="nil"/>
              <w:bottom w:val="single" w:sz="8" w:space="0" w:color="BFBFBF"/>
              <w:right w:val="single" w:sz="8" w:space="0" w:color="BFBFBF"/>
            </w:tcBorders>
            <w:shd w:val="clear" w:color="000000" w:fill="002060"/>
            <w:vAlign w:val="center"/>
            <w:hideMark/>
          </w:tcPr>
          <w:p w14:paraId="450441E9" w14:textId="77777777" w:rsidR="00DD6F85" w:rsidRPr="00DD6F85" w:rsidRDefault="00DD6F85" w:rsidP="00EA7D22">
            <w:pPr>
              <w:spacing w:line="220" w:lineRule="exact"/>
              <w:jc w:val="center"/>
              <w:rPr>
                <w:rFonts w:eastAsia="Times New Roman" w:cs="Calibri"/>
                <w:b/>
                <w:bCs/>
                <w:color w:val="FFFFFF"/>
                <w:sz w:val="22"/>
                <w:szCs w:val="22"/>
                <w:lang w:val="es-CO" w:eastAsia="es-CO"/>
              </w:rPr>
            </w:pPr>
            <w:r w:rsidRPr="00DD6F85">
              <w:rPr>
                <w:rFonts w:eastAsia="Times New Roman" w:cs="Calibri"/>
                <w:b/>
                <w:bCs/>
                <w:color w:val="FFFFFF"/>
                <w:sz w:val="22"/>
                <w:szCs w:val="22"/>
                <w:lang w:val="es-CO" w:eastAsia="es-CO"/>
              </w:rPr>
              <w:t> </w:t>
            </w:r>
          </w:p>
        </w:tc>
      </w:tr>
    </w:tbl>
    <w:p w14:paraId="5855710A" w14:textId="77777777" w:rsidR="00C1558B" w:rsidRPr="00DA5276" w:rsidRDefault="00C1558B" w:rsidP="00DB3190">
      <w:pPr>
        <w:pStyle w:val="textocorrido"/>
        <w:spacing w:before="0"/>
        <w:jc w:val="both"/>
        <w:rPr>
          <w:rFonts w:ascii="Palatino Linotype" w:hAnsi="Palatino Linotype"/>
          <w:szCs w:val="18"/>
          <w:lang w:val="es-CO"/>
        </w:rPr>
      </w:pPr>
    </w:p>
    <w:p w14:paraId="0DBAF4FE" w14:textId="50AC14F2" w:rsidR="00C1558B" w:rsidRPr="00942B99" w:rsidRDefault="00C1558B" w:rsidP="00DB3190">
      <w:pPr>
        <w:pStyle w:val="textocorrido"/>
        <w:spacing w:before="0"/>
        <w:jc w:val="both"/>
        <w:rPr>
          <w:rFonts w:ascii="Palatino Linotype" w:hAnsi="Palatino Linotype"/>
          <w:color w:val="000000" w:themeColor="text1"/>
          <w:sz w:val="24"/>
          <w:lang w:val="es-CO"/>
        </w:rPr>
      </w:pPr>
      <w:r w:rsidRPr="00942B99">
        <w:rPr>
          <w:rFonts w:ascii="Palatino Linotype" w:hAnsi="Palatino Linotype"/>
          <w:color w:val="000000" w:themeColor="text1"/>
          <w:sz w:val="24"/>
          <w:lang w:val="es-CO"/>
        </w:rPr>
        <w:t xml:space="preserve">Entre 2018 y 2020 el presupuesto apropiado por la JEP ha tenido un crecimiento promedio de 63%, explicado principalmente por el aumento del gasto de inversión al pasar de $21.885 millones en 2018 (octubre – noviembre) a $115.137 </w:t>
      </w:r>
      <w:r w:rsidR="00231B2A" w:rsidRPr="00942B99">
        <w:rPr>
          <w:rFonts w:ascii="Palatino Linotype" w:hAnsi="Palatino Linotype"/>
          <w:color w:val="000000" w:themeColor="text1"/>
          <w:sz w:val="24"/>
          <w:lang w:val="es-CO"/>
        </w:rPr>
        <w:t xml:space="preserve">millones </w:t>
      </w:r>
      <w:r w:rsidRPr="00942B99">
        <w:rPr>
          <w:rFonts w:ascii="Palatino Linotype" w:hAnsi="Palatino Linotype"/>
          <w:color w:val="000000" w:themeColor="text1"/>
          <w:sz w:val="24"/>
          <w:lang w:val="es-CO"/>
        </w:rPr>
        <w:t>en 2020 (enero – diciembre). De hecho, de 2019 a 2020 el presupuesto de funcionamiento se redujo en un 0.2%.</w:t>
      </w:r>
      <w:r w:rsidR="00711EBE" w:rsidRPr="00942B99">
        <w:rPr>
          <w:rFonts w:ascii="Palatino Linotype" w:hAnsi="Palatino Linotype"/>
          <w:color w:val="000000" w:themeColor="text1"/>
          <w:sz w:val="24"/>
          <w:lang w:val="es-CO"/>
        </w:rPr>
        <w:t xml:space="preserve"> Sin embargo, la vigencia 2020 es la primera sin saldos negativos entre lo solicitado y lo apropiado en funcionamiento. </w:t>
      </w:r>
      <w:r w:rsidR="00BD2212" w:rsidRPr="00942B99">
        <w:rPr>
          <w:rFonts w:ascii="Palatino Linotype" w:hAnsi="Palatino Linotype"/>
          <w:color w:val="000000" w:themeColor="text1"/>
          <w:sz w:val="24"/>
          <w:lang w:val="es-CO"/>
        </w:rPr>
        <w:t>La diferencia entre lo solicitado y lo apropiado entre 2018 y 20</w:t>
      </w:r>
      <w:r w:rsidR="006B762A" w:rsidRPr="00942B99">
        <w:rPr>
          <w:rFonts w:ascii="Palatino Linotype" w:hAnsi="Palatino Linotype"/>
          <w:color w:val="000000" w:themeColor="text1"/>
          <w:sz w:val="24"/>
          <w:lang w:val="es-CO"/>
        </w:rPr>
        <w:t>19 asciende a $103.384.928.686; de los cuales, 85.4% corresponden a desfinanciación en el rubro de inversión</w:t>
      </w:r>
      <w:r w:rsidR="00233249" w:rsidRPr="00942B99">
        <w:rPr>
          <w:rFonts w:ascii="Palatino Linotype" w:hAnsi="Palatino Linotype"/>
          <w:color w:val="000000" w:themeColor="text1"/>
          <w:sz w:val="24"/>
          <w:lang w:val="es-CO"/>
        </w:rPr>
        <w:t xml:space="preserve"> (Ver </w:t>
      </w:r>
      <w:r w:rsidR="00E435B8" w:rsidRPr="00942B99">
        <w:rPr>
          <w:rFonts w:ascii="Palatino Linotype" w:hAnsi="Palatino Linotype"/>
          <w:color w:val="000000" w:themeColor="text1"/>
          <w:sz w:val="24"/>
          <w:lang w:val="es-CO"/>
        </w:rPr>
        <w:t>Gráfica 1</w:t>
      </w:r>
      <w:r w:rsidR="00233249" w:rsidRPr="00942B99">
        <w:rPr>
          <w:rFonts w:ascii="Palatino Linotype" w:hAnsi="Palatino Linotype"/>
          <w:color w:val="000000" w:themeColor="text1"/>
          <w:sz w:val="24"/>
          <w:lang w:val="es-CO"/>
        </w:rPr>
        <w:t>)</w:t>
      </w:r>
      <w:r w:rsidR="006B762A" w:rsidRPr="00942B99">
        <w:rPr>
          <w:rFonts w:ascii="Palatino Linotype" w:hAnsi="Palatino Linotype"/>
          <w:color w:val="000000" w:themeColor="text1"/>
          <w:sz w:val="24"/>
          <w:lang w:val="es-CO"/>
        </w:rPr>
        <w:t xml:space="preserve">. </w:t>
      </w:r>
    </w:p>
    <w:p w14:paraId="31ED242A" w14:textId="0C94A203" w:rsidR="005D27F1" w:rsidRDefault="005D27F1" w:rsidP="00DB3190">
      <w:pPr>
        <w:rPr>
          <w:rFonts w:cs="Arial"/>
          <w:b/>
          <w:i/>
          <w:iCs/>
          <w:sz w:val="22"/>
          <w:szCs w:val="22"/>
          <w:lang w:val="es-CO"/>
        </w:rPr>
      </w:pPr>
    </w:p>
    <w:p w14:paraId="08F88FB1" w14:textId="77777777" w:rsidR="00B17E11" w:rsidRDefault="00B17E11">
      <w:pPr>
        <w:rPr>
          <w:rFonts w:cs="Arial"/>
          <w:b/>
          <w:i/>
          <w:iCs/>
          <w:sz w:val="22"/>
          <w:szCs w:val="22"/>
          <w:lang w:val="es-CO"/>
        </w:rPr>
      </w:pPr>
      <w:r>
        <w:rPr>
          <w:rFonts w:cs="Arial"/>
          <w:b/>
          <w:sz w:val="22"/>
          <w:szCs w:val="22"/>
          <w:lang w:val="es-CO"/>
        </w:rPr>
        <w:br w:type="page"/>
      </w:r>
    </w:p>
    <w:p w14:paraId="05F082D9" w14:textId="673C2231" w:rsidR="00323105" w:rsidRPr="00566630" w:rsidRDefault="00E435B8" w:rsidP="00DB3190">
      <w:pPr>
        <w:pStyle w:val="Descripcin"/>
        <w:spacing w:after="0"/>
        <w:jc w:val="both"/>
        <w:rPr>
          <w:rFonts w:cs="Arial"/>
          <w:b/>
          <w:color w:val="auto"/>
          <w:sz w:val="22"/>
          <w:szCs w:val="22"/>
          <w:lang w:val="es-CO"/>
        </w:rPr>
      </w:pPr>
      <w:r w:rsidRPr="00566630">
        <w:rPr>
          <w:rFonts w:cs="Arial"/>
          <w:b/>
          <w:color w:val="auto"/>
          <w:sz w:val="22"/>
          <w:szCs w:val="22"/>
          <w:lang w:val="es-CO"/>
        </w:rPr>
        <w:lastRenderedPageBreak/>
        <w:t xml:space="preserve">Gráfica </w:t>
      </w:r>
      <w:r w:rsidRPr="00566630">
        <w:rPr>
          <w:rFonts w:cs="Arial"/>
          <w:b/>
          <w:color w:val="auto"/>
          <w:sz w:val="22"/>
          <w:szCs w:val="22"/>
          <w:lang w:val="es-CO"/>
        </w:rPr>
        <w:fldChar w:fldCharType="begin"/>
      </w:r>
      <w:r w:rsidRPr="00566630">
        <w:rPr>
          <w:rFonts w:cs="Arial"/>
          <w:b/>
          <w:color w:val="auto"/>
          <w:sz w:val="22"/>
          <w:szCs w:val="22"/>
          <w:lang w:val="es-CO"/>
        </w:rPr>
        <w:instrText xml:space="preserve"> SEQ Gráfica \* ARABIC </w:instrText>
      </w:r>
      <w:r w:rsidRPr="00566630">
        <w:rPr>
          <w:rFonts w:cs="Arial"/>
          <w:b/>
          <w:color w:val="auto"/>
          <w:sz w:val="22"/>
          <w:szCs w:val="22"/>
          <w:lang w:val="es-CO"/>
        </w:rPr>
        <w:fldChar w:fldCharType="separate"/>
      </w:r>
      <w:r w:rsidR="008071AF" w:rsidRPr="00566630">
        <w:rPr>
          <w:rFonts w:cs="Arial"/>
          <w:b/>
          <w:noProof/>
          <w:color w:val="auto"/>
          <w:sz w:val="22"/>
          <w:szCs w:val="22"/>
          <w:lang w:val="es-CO"/>
        </w:rPr>
        <w:t>1</w:t>
      </w:r>
      <w:r w:rsidRPr="00566630">
        <w:rPr>
          <w:rFonts w:cs="Arial"/>
          <w:b/>
          <w:color w:val="auto"/>
          <w:sz w:val="22"/>
          <w:szCs w:val="22"/>
          <w:lang w:val="es-CO"/>
        </w:rPr>
        <w:fldChar w:fldCharType="end"/>
      </w:r>
      <w:r w:rsidRPr="00566630">
        <w:rPr>
          <w:rFonts w:cs="Arial"/>
          <w:b/>
          <w:color w:val="auto"/>
          <w:sz w:val="22"/>
          <w:szCs w:val="22"/>
          <w:lang w:val="es-CO"/>
        </w:rPr>
        <w:t>.</w:t>
      </w:r>
      <w:r w:rsidRPr="00566630">
        <w:rPr>
          <w:lang w:val="es-CO"/>
        </w:rPr>
        <w:t xml:space="preserve"> </w:t>
      </w:r>
      <w:r w:rsidR="00323105" w:rsidRPr="00566630">
        <w:rPr>
          <w:rFonts w:cs="Arial"/>
          <w:b/>
          <w:color w:val="auto"/>
          <w:sz w:val="22"/>
          <w:szCs w:val="22"/>
          <w:lang w:val="es-CO"/>
        </w:rPr>
        <w:t xml:space="preserve">Presupuesto </w:t>
      </w:r>
      <w:r w:rsidR="00195D6C" w:rsidRPr="00566630">
        <w:rPr>
          <w:rFonts w:cs="Arial"/>
          <w:b/>
          <w:color w:val="auto"/>
          <w:sz w:val="22"/>
          <w:szCs w:val="22"/>
          <w:lang w:val="es-CO"/>
        </w:rPr>
        <w:t>de</w:t>
      </w:r>
      <w:r w:rsidR="00323105" w:rsidRPr="00566630">
        <w:rPr>
          <w:rFonts w:cs="Arial"/>
          <w:b/>
          <w:color w:val="auto"/>
          <w:sz w:val="22"/>
          <w:szCs w:val="22"/>
          <w:lang w:val="es-CO"/>
        </w:rPr>
        <w:t xml:space="preserve"> la JEP (2018 – 202</w:t>
      </w:r>
      <w:r w:rsidR="00FC3C93" w:rsidRPr="00566630">
        <w:rPr>
          <w:rFonts w:cs="Arial"/>
          <w:b/>
          <w:color w:val="auto"/>
          <w:sz w:val="22"/>
          <w:szCs w:val="22"/>
          <w:lang w:val="es-CO"/>
        </w:rPr>
        <w:t>1</w:t>
      </w:r>
      <w:r w:rsidR="00323105" w:rsidRPr="00566630">
        <w:rPr>
          <w:rFonts w:cs="Arial"/>
          <w:b/>
          <w:color w:val="auto"/>
          <w:sz w:val="22"/>
          <w:szCs w:val="22"/>
          <w:lang w:val="es-CO"/>
        </w:rPr>
        <w:t>)</w:t>
      </w:r>
      <w:r w:rsidR="00195D6C" w:rsidRPr="00566630">
        <w:rPr>
          <w:rFonts w:cs="Arial"/>
          <w:b/>
          <w:color w:val="auto"/>
          <w:sz w:val="22"/>
          <w:szCs w:val="22"/>
          <w:lang w:val="es-CO"/>
        </w:rPr>
        <w:t xml:space="preserve">: Solicitud, Apropiación, Compromisos y Obligaciones </w:t>
      </w:r>
      <w:r w:rsidR="00F00B81" w:rsidRPr="00566630">
        <w:rPr>
          <w:rFonts w:cs="Arial"/>
          <w:b/>
          <w:color w:val="auto"/>
          <w:sz w:val="22"/>
          <w:szCs w:val="22"/>
          <w:lang w:val="es-CO"/>
        </w:rPr>
        <w:t xml:space="preserve">- </w:t>
      </w:r>
      <w:r w:rsidR="00323105" w:rsidRPr="00566630">
        <w:rPr>
          <w:rFonts w:cs="Arial"/>
          <w:b/>
          <w:color w:val="auto"/>
          <w:sz w:val="22"/>
          <w:szCs w:val="22"/>
          <w:lang w:val="es-CO"/>
        </w:rPr>
        <w:t xml:space="preserve">Cifras </w:t>
      </w:r>
      <w:r w:rsidR="00B15E4C" w:rsidRPr="00566630">
        <w:rPr>
          <w:rFonts w:cs="Arial"/>
          <w:b/>
          <w:color w:val="auto"/>
          <w:sz w:val="22"/>
          <w:szCs w:val="22"/>
          <w:lang w:val="es-CO"/>
        </w:rPr>
        <w:t xml:space="preserve">anuales </w:t>
      </w:r>
      <w:r w:rsidR="00323105" w:rsidRPr="00566630">
        <w:rPr>
          <w:rFonts w:cs="Arial"/>
          <w:b/>
          <w:color w:val="auto"/>
          <w:sz w:val="22"/>
          <w:szCs w:val="22"/>
          <w:lang w:val="es-CO"/>
        </w:rPr>
        <w:t xml:space="preserve">en </w:t>
      </w:r>
      <w:r w:rsidR="00F00B81" w:rsidRPr="00566630">
        <w:rPr>
          <w:rFonts w:cs="Arial"/>
          <w:b/>
          <w:color w:val="auto"/>
          <w:sz w:val="22"/>
          <w:szCs w:val="22"/>
          <w:lang w:val="es-CO"/>
        </w:rPr>
        <w:t xml:space="preserve">millones de </w:t>
      </w:r>
      <w:r w:rsidR="00323105" w:rsidRPr="00566630">
        <w:rPr>
          <w:rFonts w:cs="Arial"/>
          <w:b/>
          <w:color w:val="auto"/>
          <w:sz w:val="22"/>
          <w:szCs w:val="22"/>
          <w:lang w:val="es-CO"/>
        </w:rPr>
        <w:t>pesos corrientes</w:t>
      </w:r>
    </w:p>
    <w:p w14:paraId="05051C47" w14:textId="770F24A8" w:rsidR="00E435B8" w:rsidRDefault="00FC3C93" w:rsidP="00DB3190">
      <w:pPr>
        <w:jc w:val="center"/>
        <w:rPr>
          <w:lang w:val="es-CO"/>
        </w:rPr>
      </w:pPr>
      <w:r>
        <w:rPr>
          <w:noProof/>
          <w:lang w:val="es-CO" w:eastAsia="es-CO"/>
        </w:rPr>
        <w:drawing>
          <wp:inline distT="0" distB="0" distL="0" distR="0" wp14:anchorId="288D1D53" wp14:editId="3F045509">
            <wp:extent cx="6476196" cy="32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6196" cy="3240000"/>
                    </a:xfrm>
                    <a:prstGeom prst="rect">
                      <a:avLst/>
                    </a:prstGeom>
                    <a:noFill/>
                  </pic:spPr>
                </pic:pic>
              </a:graphicData>
            </a:graphic>
          </wp:inline>
        </w:drawing>
      </w:r>
    </w:p>
    <w:p w14:paraId="3E4B6FDA" w14:textId="015E2E12" w:rsidR="00B51C2A" w:rsidRDefault="00195D6C" w:rsidP="00DB3190">
      <w:pPr>
        <w:rPr>
          <w:sz w:val="14"/>
          <w:szCs w:val="14"/>
          <w:lang w:val="es-CO"/>
        </w:rPr>
      </w:pPr>
      <w:r w:rsidRPr="00195D6C">
        <w:rPr>
          <w:sz w:val="14"/>
          <w:szCs w:val="14"/>
          <w:lang w:val="es-CO"/>
        </w:rPr>
        <w:t>* Compromisos y Obligaciones con corte a 20 de marzo de 2020.</w:t>
      </w:r>
    </w:p>
    <w:p w14:paraId="3CEB0297" w14:textId="77777777" w:rsidR="008071AF" w:rsidRPr="00F00B81" w:rsidRDefault="008071AF" w:rsidP="00DB3190">
      <w:pPr>
        <w:rPr>
          <w:color w:val="000000" w:themeColor="text1"/>
          <w:sz w:val="14"/>
          <w:szCs w:val="14"/>
          <w:lang w:val="es-CO"/>
        </w:rPr>
      </w:pPr>
    </w:p>
    <w:p w14:paraId="0F774D18" w14:textId="2A3B276B" w:rsidR="00FC5565" w:rsidRPr="00942B99" w:rsidRDefault="003851F9" w:rsidP="00DB3190">
      <w:pPr>
        <w:pStyle w:val="textocorrido"/>
        <w:spacing w:before="0"/>
        <w:jc w:val="both"/>
        <w:rPr>
          <w:rFonts w:ascii="Palatino Linotype" w:hAnsi="Palatino Linotype"/>
          <w:color w:val="000000" w:themeColor="text1"/>
          <w:sz w:val="24"/>
          <w:lang w:val="es-CO"/>
        </w:rPr>
      </w:pPr>
      <w:r w:rsidRPr="00942B99">
        <w:rPr>
          <w:rFonts w:ascii="Palatino Linotype" w:hAnsi="Palatino Linotype"/>
          <w:color w:val="000000" w:themeColor="text1"/>
          <w:sz w:val="24"/>
          <w:lang w:val="es-CO"/>
        </w:rPr>
        <w:t xml:space="preserve">Comparativamente, mientras durante el 2018 se tuvo un ritmo de suscripción de compromisos </w:t>
      </w:r>
      <w:r w:rsidR="00A94491" w:rsidRPr="00942B99">
        <w:rPr>
          <w:rFonts w:ascii="Palatino Linotype" w:hAnsi="Palatino Linotype"/>
          <w:color w:val="000000" w:themeColor="text1"/>
          <w:sz w:val="24"/>
          <w:lang w:val="es-CO"/>
        </w:rPr>
        <w:t xml:space="preserve">promedio </w:t>
      </w:r>
      <w:r w:rsidRPr="00942B99">
        <w:rPr>
          <w:rFonts w:ascii="Palatino Linotype" w:hAnsi="Palatino Linotype"/>
          <w:color w:val="000000" w:themeColor="text1"/>
          <w:sz w:val="24"/>
          <w:lang w:val="es-CO"/>
        </w:rPr>
        <w:t xml:space="preserve">del </w:t>
      </w:r>
      <w:r w:rsidR="00A94491" w:rsidRPr="00942B99">
        <w:rPr>
          <w:rFonts w:ascii="Palatino Linotype" w:hAnsi="Palatino Linotype"/>
          <w:color w:val="000000" w:themeColor="text1"/>
          <w:sz w:val="24"/>
          <w:lang w:val="es-CO"/>
        </w:rPr>
        <w:t>18</w:t>
      </w:r>
      <w:r w:rsidR="00A63119" w:rsidRPr="00942B99">
        <w:rPr>
          <w:rFonts w:ascii="Palatino Linotype" w:hAnsi="Palatino Linotype"/>
          <w:color w:val="000000" w:themeColor="text1"/>
          <w:sz w:val="24"/>
          <w:lang w:val="es-CO"/>
        </w:rPr>
        <w:t>%</w:t>
      </w:r>
      <w:r w:rsidRPr="00942B99">
        <w:rPr>
          <w:rFonts w:ascii="Palatino Linotype" w:hAnsi="Palatino Linotype"/>
          <w:color w:val="000000" w:themeColor="text1"/>
          <w:sz w:val="24"/>
          <w:lang w:val="es-CO"/>
        </w:rPr>
        <w:t xml:space="preserve">, tan solo entre el 1 de enero y el 20 de marzo de 2020 este ritmo ha ascendido </w:t>
      </w:r>
      <w:r w:rsidR="00A94491" w:rsidRPr="00942B99">
        <w:rPr>
          <w:rFonts w:ascii="Palatino Linotype" w:hAnsi="Palatino Linotype"/>
          <w:color w:val="000000" w:themeColor="text1"/>
          <w:sz w:val="24"/>
          <w:lang w:val="es-CO"/>
        </w:rPr>
        <w:t>al 23,1</w:t>
      </w:r>
      <w:r w:rsidR="0083561C" w:rsidRPr="00942B99">
        <w:rPr>
          <w:rFonts w:ascii="Palatino Linotype" w:hAnsi="Palatino Linotype"/>
          <w:color w:val="000000" w:themeColor="text1"/>
          <w:sz w:val="24"/>
          <w:lang w:val="es-CO"/>
        </w:rPr>
        <w:t>%,</w:t>
      </w:r>
      <w:r w:rsidR="002D53D3" w:rsidRPr="00942B99">
        <w:rPr>
          <w:rFonts w:ascii="Palatino Linotype" w:hAnsi="Palatino Linotype"/>
          <w:color w:val="000000" w:themeColor="text1"/>
          <w:sz w:val="24"/>
          <w:lang w:val="es-CO"/>
        </w:rPr>
        <w:t xml:space="preserve"> destacando que la inversión ya logra el 50</w:t>
      </w:r>
      <w:r w:rsidR="00400F7F" w:rsidRPr="00942B99">
        <w:rPr>
          <w:rFonts w:ascii="Palatino Linotype" w:hAnsi="Palatino Linotype"/>
          <w:color w:val="000000" w:themeColor="text1"/>
          <w:sz w:val="24"/>
          <w:lang w:val="es-CO"/>
        </w:rPr>
        <w:t>,7</w:t>
      </w:r>
      <w:r w:rsidR="002D53D3" w:rsidRPr="00942B99">
        <w:rPr>
          <w:rFonts w:ascii="Palatino Linotype" w:hAnsi="Palatino Linotype"/>
          <w:color w:val="000000" w:themeColor="text1"/>
          <w:sz w:val="24"/>
          <w:lang w:val="es-CO"/>
        </w:rPr>
        <w:t>%,</w:t>
      </w:r>
      <w:r w:rsidR="0083561C" w:rsidRPr="00942B99">
        <w:rPr>
          <w:rFonts w:ascii="Palatino Linotype" w:hAnsi="Palatino Linotype"/>
          <w:color w:val="000000" w:themeColor="text1"/>
          <w:sz w:val="24"/>
          <w:lang w:val="es-CO"/>
        </w:rPr>
        <w:t xml:space="preserve"> lo que indicaría que </w:t>
      </w:r>
      <w:r w:rsidR="00753D26" w:rsidRPr="00942B99">
        <w:rPr>
          <w:rFonts w:ascii="Palatino Linotype" w:hAnsi="Palatino Linotype"/>
          <w:color w:val="000000" w:themeColor="text1"/>
          <w:sz w:val="24"/>
          <w:lang w:val="es-CO"/>
        </w:rPr>
        <w:t>de mantener este velocidad al 31</w:t>
      </w:r>
      <w:r w:rsidR="0083561C" w:rsidRPr="00942B99">
        <w:rPr>
          <w:rFonts w:ascii="Palatino Linotype" w:hAnsi="Palatino Linotype"/>
          <w:color w:val="000000" w:themeColor="text1"/>
          <w:sz w:val="24"/>
          <w:lang w:val="es-CO"/>
        </w:rPr>
        <w:t xml:space="preserve"> de diciembre de la vigencia en curso se alcanzar</w:t>
      </w:r>
      <w:r w:rsidR="00753D26" w:rsidRPr="00942B99">
        <w:rPr>
          <w:rFonts w:ascii="Palatino Linotype" w:hAnsi="Palatino Linotype"/>
          <w:color w:val="000000" w:themeColor="text1"/>
          <w:sz w:val="24"/>
          <w:lang w:val="es-CO"/>
        </w:rPr>
        <w:t xml:space="preserve">ían </w:t>
      </w:r>
      <w:r w:rsidR="00113EE4" w:rsidRPr="00942B99">
        <w:rPr>
          <w:rFonts w:ascii="Palatino Linotype" w:hAnsi="Palatino Linotype"/>
          <w:color w:val="000000" w:themeColor="text1"/>
          <w:sz w:val="24"/>
          <w:lang w:val="es-CO"/>
        </w:rPr>
        <w:t>unos compromisos del 100</w:t>
      </w:r>
      <w:r w:rsidR="0083561C" w:rsidRPr="00942B99">
        <w:rPr>
          <w:rFonts w:ascii="Palatino Linotype" w:hAnsi="Palatino Linotype"/>
          <w:color w:val="000000" w:themeColor="text1"/>
          <w:sz w:val="24"/>
          <w:lang w:val="es-CO"/>
        </w:rPr>
        <w:t>%</w:t>
      </w:r>
      <w:r w:rsidR="008A41CA" w:rsidRPr="00942B99">
        <w:rPr>
          <w:rFonts w:ascii="Palatino Linotype" w:hAnsi="Palatino Linotype"/>
          <w:color w:val="000000" w:themeColor="text1"/>
          <w:sz w:val="24"/>
          <w:lang w:val="es-CO"/>
        </w:rPr>
        <w:t xml:space="preserve"> (Ver Gráfica 2)</w:t>
      </w:r>
      <w:r w:rsidR="0083561C" w:rsidRPr="00942B99">
        <w:rPr>
          <w:rFonts w:ascii="Palatino Linotype" w:hAnsi="Palatino Linotype"/>
          <w:color w:val="000000" w:themeColor="text1"/>
          <w:sz w:val="24"/>
          <w:lang w:val="es-CO"/>
        </w:rPr>
        <w:t xml:space="preserve">. </w:t>
      </w:r>
    </w:p>
    <w:p w14:paraId="0BAFDEA9" w14:textId="44966782" w:rsidR="008071AF" w:rsidRPr="00DF27A0" w:rsidRDefault="008071AF" w:rsidP="00DB3190">
      <w:pPr>
        <w:rPr>
          <w:b/>
          <w:iCs/>
          <w:sz w:val="22"/>
          <w:szCs w:val="22"/>
          <w:lang w:val="es-CO"/>
        </w:rPr>
      </w:pPr>
    </w:p>
    <w:p w14:paraId="06489ABD" w14:textId="77777777" w:rsidR="00B17E11" w:rsidRDefault="00B17E11">
      <w:pPr>
        <w:rPr>
          <w:b/>
          <w:i/>
          <w:iCs/>
          <w:sz w:val="22"/>
          <w:szCs w:val="22"/>
          <w:lang w:val="es-CO"/>
        </w:rPr>
      </w:pPr>
      <w:r>
        <w:rPr>
          <w:b/>
          <w:sz w:val="22"/>
          <w:szCs w:val="22"/>
          <w:lang w:val="es-CO"/>
        </w:rPr>
        <w:br w:type="page"/>
      </w:r>
    </w:p>
    <w:p w14:paraId="189CDEE5" w14:textId="42AD1D44" w:rsidR="00B15E4C" w:rsidRPr="00566630" w:rsidRDefault="00DB24E1" w:rsidP="00DB3190">
      <w:pPr>
        <w:pStyle w:val="Descripcin"/>
        <w:spacing w:after="0"/>
        <w:jc w:val="both"/>
        <w:rPr>
          <w:rFonts w:cs="Arial"/>
          <w:b/>
          <w:color w:val="auto"/>
          <w:sz w:val="22"/>
          <w:szCs w:val="22"/>
          <w:lang w:val="es-CO"/>
        </w:rPr>
      </w:pPr>
      <w:r w:rsidRPr="00566630">
        <w:rPr>
          <w:b/>
          <w:color w:val="auto"/>
          <w:sz w:val="22"/>
          <w:szCs w:val="22"/>
          <w:lang w:val="es-CO"/>
        </w:rPr>
        <w:lastRenderedPageBreak/>
        <w:t xml:space="preserve">Gráfica </w:t>
      </w:r>
      <w:r w:rsidRPr="00566630">
        <w:rPr>
          <w:b/>
          <w:color w:val="auto"/>
          <w:sz w:val="22"/>
          <w:szCs w:val="22"/>
        </w:rPr>
        <w:fldChar w:fldCharType="begin"/>
      </w:r>
      <w:r w:rsidRPr="00566630">
        <w:rPr>
          <w:b/>
          <w:color w:val="auto"/>
          <w:sz w:val="22"/>
          <w:szCs w:val="22"/>
          <w:lang w:val="es-CO"/>
        </w:rPr>
        <w:instrText xml:space="preserve"> SEQ Gráfica \* ARABIC </w:instrText>
      </w:r>
      <w:r w:rsidRPr="00566630">
        <w:rPr>
          <w:b/>
          <w:color w:val="auto"/>
          <w:sz w:val="22"/>
          <w:szCs w:val="22"/>
        </w:rPr>
        <w:fldChar w:fldCharType="separate"/>
      </w:r>
      <w:r w:rsidR="00E435B8" w:rsidRPr="00566630">
        <w:rPr>
          <w:b/>
          <w:noProof/>
          <w:color w:val="auto"/>
          <w:sz w:val="22"/>
          <w:szCs w:val="22"/>
          <w:lang w:val="es-CO"/>
        </w:rPr>
        <w:t>2</w:t>
      </w:r>
      <w:r w:rsidRPr="00566630">
        <w:rPr>
          <w:b/>
          <w:color w:val="auto"/>
          <w:sz w:val="22"/>
          <w:szCs w:val="22"/>
        </w:rPr>
        <w:fldChar w:fldCharType="end"/>
      </w:r>
      <w:r w:rsidRPr="00566630">
        <w:rPr>
          <w:b/>
          <w:color w:val="auto"/>
          <w:sz w:val="22"/>
          <w:szCs w:val="22"/>
          <w:lang w:val="es-CO"/>
        </w:rPr>
        <w:t xml:space="preserve">. </w:t>
      </w:r>
      <w:r w:rsidR="00B15E4C" w:rsidRPr="00566630">
        <w:rPr>
          <w:rFonts w:cs="Arial"/>
          <w:b/>
          <w:color w:val="auto"/>
          <w:sz w:val="22"/>
          <w:szCs w:val="22"/>
          <w:lang w:val="es-CO"/>
        </w:rPr>
        <w:t>Presupuesto de la JEP (2018 – 2020): Compromisos y Obligaciones</w:t>
      </w:r>
      <w:r w:rsidR="00F903D3" w:rsidRPr="00566630">
        <w:rPr>
          <w:rFonts w:cs="Arial"/>
          <w:b/>
          <w:color w:val="auto"/>
          <w:sz w:val="22"/>
          <w:szCs w:val="22"/>
          <w:lang w:val="es-CO"/>
        </w:rPr>
        <w:t xml:space="preserve"> - </w:t>
      </w:r>
      <w:r w:rsidR="00B15E4C" w:rsidRPr="00566630">
        <w:rPr>
          <w:rFonts w:cs="Arial"/>
          <w:b/>
          <w:color w:val="auto"/>
          <w:sz w:val="22"/>
          <w:szCs w:val="22"/>
          <w:lang w:val="es-CO"/>
        </w:rPr>
        <w:t xml:space="preserve">Cifras mensuales en </w:t>
      </w:r>
      <w:r w:rsidR="00092738" w:rsidRPr="00566630">
        <w:rPr>
          <w:rFonts w:cs="Arial"/>
          <w:b/>
          <w:color w:val="auto"/>
          <w:sz w:val="22"/>
          <w:szCs w:val="22"/>
          <w:lang w:val="es-CO"/>
        </w:rPr>
        <w:t xml:space="preserve">millones de </w:t>
      </w:r>
      <w:r w:rsidR="00B15E4C" w:rsidRPr="00566630">
        <w:rPr>
          <w:rFonts w:cs="Arial"/>
          <w:b/>
          <w:color w:val="auto"/>
          <w:sz w:val="22"/>
          <w:szCs w:val="22"/>
          <w:lang w:val="es-CO"/>
        </w:rPr>
        <w:t>pesos corrientes</w:t>
      </w:r>
    </w:p>
    <w:p w14:paraId="7D24F79D" w14:textId="49882982" w:rsidR="002744F4" w:rsidRPr="00A61EA2" w:rsidRDefault="00BC0068" w:rsidP="00DB3190">
      <w:pPr>
        <w:jc w:val="center"/>
        <w:rPr>
          <w:rFonts w:eastAsia="Times New Roman"/>
          <w:b/>
          <w:noProof/>
          <w:lang w:val="es-CO"/>
        </w:rPr>
      </w:pPr>
      <w:r w:rsidRPr="006A1B70">
        <w:rPr>
          <w:rFonts w:eastAsia="Times New Roman"/>
          <w:b/>
          <w:noProof/>
          <w:lang w:val="es-CO" w:eastAsia="es-CO"/>
        </w:rPr>
        <w:drawing>
          <wp:inline distT="0" distB="0" distL="0" distR="0" wp14:anchorId="19455EEF" wp14:editId="3B929992">
            <wp:extent cx="4961662" cy="324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247" b="1686"/>
                    <a:stretch/>
                  </pic:blipFill>
                  <pic:spPr bwMode="auto">
                    <a:xfrm>
                      <a:off x="0" y="0"/>
                      <a:ext cx="4961662"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823AF34" w14:textId="17E9535B" w:rsidR="009C4F84" w:rsidRPr="00195D6C" w:rsidRDefault="009C4F84" w:rsidP="00DB3190">
      <w:pPr>
        <w:rPr>
          <w:sz w:val="14"/>
          <w:szCs w:val="14"/>
          <w:lang w:val="es-CO"/>
        </w:rPr>
      </w:pPr>
      <w:r w:rsidRPr="00195D6C">
        <w:rPr>
          <w:sz w:val="14"/>
          <w:szCs w:val="14"/>
          <w:lang w:val="es-CO"/>
        </w:rPr>
        <w:t>* Compromisos y Obligaciones con corte a 2</w:t>
      </w:r>
      <w:r w:rsidR="00DF3247">
        <w:rPr>
          <w:sz w:val="14"/>
          <w:szCs w:val="14"/>
          <w:lang w:val="es-CO"/>
        </w:rPr>
        <w:t>7</w:t>
      </w:r>
      <w:r w:rsidRPr="00195D6C">
        <w:rPr>
          <w:sz w:val="14"/>
          <w:szCs w:val="14"/>
          <w:lang w:val="es-CO"/>
        </w:rPr>
        <w:t xml:space="preserve"> de marzo de 2020.</w:t>
      </w:r>
    </w:p>
    <w:p w14:paraId="53C96FA6" w14:textId="77777777" w:rsidR="00B17E11" w:rsidRDefault="00B17E11" w:rsidP="00DB3190">
      <w:pPr>
        <w:pStyle w:val="Prrafodelista"/>
        <w:ind w:left="0"/>
        <w:jc w:val="both"/>
        <w:rPr>
          <w:color w:val="000000" w:themeColor="text1"/>
          <w:lang w:val="es-CO"/>
        </w:rPr>
      </w:pPr>
    </w:p>
    <w:p w14:paraId="3F9527D5" w14:textId="2B1B41B3" w:rsidR="004F107D" w:rsidRPr="00942B99" w:rsidRDefault="004F107D" w:rsidP="00DB3190">
      <w:pPr>
        <w:pStyle w:val="Prrafodelista"/>
        <w:ind w:left="0"/>
        <w:jc w:val="both"/>
        <w:rPr>
          <w:color w:val="000000" w:themeColor="text1"/>
          <w:lang w:val="es-CO"/>
        </w:rPr>
      </w:pPr>
      <w:r w:rsidRPr="00942B99">
        <w:rPr>
          <w:color w:val="000000" w:themeColor="text1"/>
          <w:lang w:val="es-CO"/>
        </w:rPr>
        <w:t>Lo anterior, aún en consideración al contexto global y local por situación de salubridad, pues la Jurisdicción ha evidenciado que en la actual vigencia la demanda de protección a víctimas, testigos e intervinientes se acrecentó y que la actividad judicial también demandaba mayor soporte de mecanismos de acceso a la justicia, logísticos y de divulgación de actuaciones (tal como la transmisión de diligencias judiciales), lo cual proyectaba seria escasez de recursos. La desaceleración causada por el aislamiento preventivo y la suspensión de términos procesales se prevé sea recuperada en el segundo semestre, por una parte, y disminuye el faltante de recursos, por otra, sin que se prevean saldos de ejecución significativos ni adicionales a los resultantes de procesos contractuales con precios menores al presupuesto oficial por efecto de la calificación de tal factor para la selección.</w:t>
      </w:r>
    </w:p>
    <w:p w14:paraId="4103B3AD" w14:textId="77777777" w:rsidR="004F107D" w:rsidRPr="002449A6" w:rsidRDefault="004F107D" w:rsidP="00DB3190">
      <w:pPr>
        <w:pStyle w:val="Prrafodelista"/>
        <w:ind w:left="0"/>
        <w:jc w:val="both"/>
        <w:rPr>
          <w:color w:val="2F5496" w:themeColor="accent1" w:themeShade="BF"/>
          <w:sz w:val="18"/>
          <w:lang w:val="es-CO"/>
        </w:rPr>
      </w:pPr>
    </w:p>
    <w:p w14:paraId="469158E0" w14:textId="7EC2BA3F" w:rsidR="005F0DFC" w:rsidRPr="00B17E11" w:rsidRDefault="005F0DFC" w:rsidP="00DB3190">
      <w:pPr>
        <w:pStyle w:val="Ttulo2"/>
        <w:numPr>
          <w:ilvl w:val="1"/>
          <w:numId w:val="4"/>
        </w:numPr>
        <w:spacing w:before="0"/>
        <w:rPr>
          <w:rFonts w:ascii="Palatino Linotype" w:hAnsi="Palatino Linotype"/>
          <w:b/>
          <w:sz w:val="24"/>
          <w:szCs w:val="24"/>
          <w:lang w:val="es-CO"/>
        </w:rPr>
      </w:pPr>
      <w:bookmarkStart w:id="12" w:name="_Toc36031115"/>
      <w:r w:rsidRPr="00B17E11">
        <w:rPr>
          <w:rFonts w:ascii="Palatino Linotype" w:hAnsi="Palatino Linotype"/>
          <w:b/>
          <w:sz w:val="24"/>
          <w:szCs w:val="24"/>
          <w:lang w:val="es-CO"/>
        </w:rPr>
        <w:t>NECESIDADES PRESUPUESTALES 2021</w:t>
      </w:r>
      <w:bookmarkEnd w:id="12"/>
    </w:p>
    <w:p w14:paraId="2D849AE3" w14:textId="77777777" w:rsidR="00357226" w:rsidRPr="002449A6" w:rsidRDefault="00357226" w:rsidP="00DB3190">
      <w:pPr>
        <w:rPr>
          <w:b/>
          <w:sz w:val="18"/>
          <w:lang w:val="es-CO"/>
        </w:rPr>
      </w:pPr>
    </w:p>
    <w:p w14:paraId="5336C79D" w14:textId="0FF00287" w:rsidR="00357226" w:rsidRPr="00B17E11" w:rsidRDefault="00357226" w:rsidP="00DB3190">
      <w:pPr>
        <w:pStyle w:val="Ttulo3"/>
        <w:numPr>
          <w:ilvl w:val="2"/>
          <w:numId w:val="4"/>
        </w:numPr>
        <w:spacing w:before="0"/>
        <w:rPr>
          <w:rFonts w:ascii="Palatino Linotype" w:hAnsi="Palatino Linotype"/>
          <w:b/>
          <w:color w:val="2F5496" w:themeColor="accent1" w:themeShade="BF"/>
          <w:lang w:val="es-CO"/>
        </w:rPr>
      </w:pPr>
      <w:bookmarkStart w:id="13" w:name="_Toc36031116"/>
      <w:r w:rsidRPr="00B17E11">
        <w:rPr>
          <w:rFonts w:ascii="Palatino Linotype" w:hAnsi="Palatino Linotype"/>
          <w:b/>
          <w:color w:val="2F5496" w:themeColor="accent1" w:themeShade="BF"/>
          <w:lang w:val="es-CO"/>
        </w:rPr>
        <w:t>P</w:t>
      </w:r>
      <w:r w:rsidR="005F0DFC" w:rsidRPr="00B17E11">
        <w:rPr>
          <w:rFonts w:ascii="Palatino Linotype" w:hAnsi="Palatino Linotype"/>
          <w:b/>
          <w:color w:val="2F5496" w:themeColor="accent1" w:themeShade="BF"/>
          <w:lang w:val="es-CO"/>
        </w:rPr>
        <w:t>resupuesto de funcionamiento 2021</w:t>
      </w:r>
      <w:bookmarkEnd w:id="13"/>
    </w:p>
    <w:p w14:paraId="441F59BA" w14:textId="77777777" w:rsidR="009020A6" w:rsidRPr="00E22200" w:rsidRDefault="009020A6" w:rsidP="00DB3190">
      <w:pPr>
        <w:rPr>
          <w:sz w:val="18"/>
          <w:szCs w:val="18"/>
          <w:lang w:val="es-CO"/>
        </w:rPr>
      </w:pPr>
    </w:p>
    <w:p w14:paraId="0B53D378" w14:textId="3BCE9543" w:rsidR="009020A6" w:rsidRPr="00942B99" w:rsidRDefault="009020A6" w:rsidP="00DB3190">
      <w:pPr>
        <w:jc w:val="both"/>
        <w:rPr>
          <w:lang w:val="es-CO"/>
        </w:rPr>
      </w:pPr>
      <w:r w:rsidRPr="00942B99">
        <w:rPr>
          <w:lang w:val="es-CO"/>
        </w:rPr>
        <w:t xml:space="preserve">El presupuesto de funcionamiento requerido para 2021 por la JEP asciende a </w:t>
      </w:r>
      <w:r w:rsidR="00F879EC" w:rsidRPr="00942B99">
        <w:rPr>
          <w:lang w:val="es-CO"/>
        </w:rPr>
        <w:t>$218.442.077.496</w:t>
      </w:r>
      <w:r w:rsidR="00F879EC">
        <w:rPr>
          <w:lang w:val="es-CO"/>
        </w:rPr>
        <w:t>;</w:t>
      </w:r>
      <w:r w:rsidR="00B17E11">
        <w:rPr>
          <w:lang w:val="es-CO"/>
        </w:rPr>
        <w:t xml:space="preserve"> </w:t>
      </w:r>
      <w:r w:rsidR="00F879EC">
        <w:rPr>
          <w:lang w:val="es-CO"/>
        </w:rPr>
        <w:t>e</w:t>
      </w:r>
      <w:r w:rsidR="005D365F" w:rsidRPr="00942B99">
        <w:rPr>
          <w:lang w:val="es-CO"/>
        </w:rPr>
        <w:t>s decir, en funcio</w:t>
      </w:r>
      <w:r w:rsidR="002A5E7B" w:rsidRPr="00942B99">
        <w:rPr>
          <w:lang w:val="es-CO"/>
        </w:rPr>
        <w:t>namiento para 2021 se tiene un funcionamient</w:t>
      </w:r>
      <w:r w:rsidR="0027412D" w:rsidRPr="00942B99">
        <w:rPr>
          <w:lang w:val="es-CO"/>
        </w:rPr>
        <w:t xml:space="preserve">o base </w:t>
      </w:r>
      <w:r w:rsidR="00F879EC">
        <w:rPr>
          <w:lang w:val="es-CO"/>
        </w:rPr>
        <w:t>que coincide con el valor del</w:t>
      </w:r>
      <w:r w:rsidR="0027412D" w:rsidRPr="00942B99">
        <w:rPr>
          <w:lang w:val="es-CO"/>
        </w:rPr>
        <w:t xml:space="preserve"> tope </w:t>
      </w:r>
      <w:r w:rsidR="00F879EC">
        <w:rPr>
          <w:lang w:val="es-CO"/>
        </w:rPr>
        <w:t>anunciado por MHCP</w:t>
      </w:r>
      <w:r w:rsidR="005D365F" w:rsidRPr="00942B99">
        <w:rPr>
          <w:lang w:val="es-CO"/>
        </w:rPr>
        <w:t xml:space="preserve"> </w:t>
      </w:r>
      <w:r w:rsidR="00BB32BF" w:rsidRPr="00942B99">
        <w:rPr>
          <w:lang w:val="es-CO"/>
        </w:rPr>
        <w:t>(Ver Tabla 2</w:t>
      </w:r>
      <w:r w:rsidR="00951176" w:rsidRPr="00942B99">
        <w:rPr>
          <w:lang w:val="es-CO"/>
        </w:rPr>
        <w:t>)</w:t>
      </w:r>
    </w:p>
    <w:p w14:paraId="535BE1BE" w14:textId="77777777" w:rsidR="00642D21" w:rsidRDefault="00642D21" w:rsidP="00DB3190">
      <w:pPr>
        <w:pStyle w:val="Descripcin"/>
        <w:spacing w:after="0"/>
        <w:jc w:val="center"/>
        <w:rPr>
          <w:b/>
          <w:color w:val="auto"/>
          <w:sz w:val="22"/>
          <w:szCs w:val="22"/>
          <w:lang w:val="es-CO"/>
        </w:rPr>
      </w:pPr>
    </w:p>
    <w:p w14:paraId="7BB5AFC9" w14:textId="77777777" w:rsidR="00B17E11" w:rsidRDefault="00B17E11">
      <w:pPr>
        <w:rPr>
          <w:b/>
          <w:i/>
          <w:iCs/>
          <w:sz w:val="22"/>
          <w:szCs w:val="22"/>
          <w:lang w:val="es-CO"/>
        </w:rPr>
      </w:pPr>
      <w:r>
        <w:rPr>
          <w:b/>
          <w:sz w:val="22"/>
          <w:szCs w:val="22"/>
          <w:lang w:val="es-CO"/>
        </w:rPr>
        <w:br w:type="page"/>
      </w:r>
    </w:p>
    <w:p w14:paraId="2ABDFD15" w14:textId="7F41004E" w:rsidR="00951176" w:rsidRPr="00BB119A" w:rsidRDefault="00951176" w:rsidP="00DB3190">
      <w:pPr>
        <w:pStyle w:val="Descripcin"/>
        <w:spacing w:after="0"/>
        <w:jc w:val="both"/>
        <w:rPr>
          <w:b/>
          <w:color w:val="auto"/>
          <w:sz w:val="22"/>
          <w:szCs w:val="22"/>
          <w:lang w:val="es-CO"/>
        </w:rPr>
      </w:pPr>
      <w:r w:rsidRPr="00BB32BF">
        <w:rPr>
          <w:b/>
          <w:color w:val="auto"/>
          <w:sz w:val="22"/>
          <w:szCs w:val="22"/>
          <w:lang w:val="es-CO"/>
        </w:rPr>
        <w:lastRenderedPageBreak/>
        <w:t xml:space="preserve">Tabla </w:t>
      </w:r>
      <w:r w:rsidRPr="00BB32BF">
        <w:rPr>
          <w:b/>
          <w:color w:val="auto"/>
          <w:sz w:val="22"/>
          <w:szCs w:val="22"/>
        </w:rPr>
        <w:fldChar w:fldCharType="begin"/>
      </w:r>
      <w:r w:rsidRPr="00BB32BF">
        <w:rPr>
          <w:b/>
          <w:color w:val="auto"/>
          <w:sz w:val="22"/>
          <w:szCs w:val="22"/>
          <w:lang w:val="es-CO"/>
        </w:rPr>
        <w:instrText xml:space="preserve"> SEQ Tabla \* ARABIC </w:instrText>
      </w:r>
      <w:r w:rsidRPr="00BB32BF">
        <w:rPr>
          <w:b/>
          <w:color w:val="auto"/>
          <w:sz w:val="22"/>
          <w:szCs w:val="22"/>
        </w:rPr>
        <w:fldChar w:fldCharType="separate"/>
      </w:r>
      <w:r w:rsidR="00BB32BF">
        <w:rPr>
          <w:b/>
          <w:noProof/>
          <w:color w:val="auto"/>
          <w:sz w:val="22"/>
          <w:szCs w:val="22"/>
          <w:lang w:val="es-CO"/>
        </w:rPr>
        <w:t>2</w:t>
      </w:r>
      <w:r w:rsidRPr="00BB32BF">
        <w:rPr>
          <w:b/>
          <w:color w:val="auto"/>
          <w:sz w:val="22"/>
          <w:szCs w:val="22"/>
        </w:rPr>
        <w:fldChar w:fldCharType="end"/>
      </w:r>
      <w:r w:rsidRPr="00BB32BF">
        <w:rPr>
          <w:b/>
          <w:color w:val="auto"/>
          <w:sz w:val="22"/>
          <w:szCs w:val="22"/>
          <w:lang w:val="es-CO"/>
        </w:rPr>
        <w:t>. Presupuesto solicitado para 2021 en gasto de funcionamiento</w:t>
      </w:r>
      <w:r w:rsidR="00BB32BF">
        <w:rPr>
          <w:b/>
          <w:color w:val="auto"/>
          <w:sz w:val="22"/>
          <w:szCs w:val="22"/>
          <w:lang w:val="es-CO"/>
        </w:rPr>
        <w:t xml:space="preserve"> – </w:t>
      </w:r>
      <w:r w:rsidRPr="00BB119A">
        <w:rPr>
          <w:b/>
          <w:color w:val="auto"/>
          <w:sz w:val="22"/>
          <w:szCs w:val="22"/>
          <w:lang w:val="es-CO"/>
        </w:rPr>
        <w:t>Cifras en pesos corriente</w:t>
      </w:r>
      <w:r w:rsidR="00BB119A">
        <w:rPr>
          <w:b/>
          <w:color w:val="auto"/>
          <w:sz w:val="22"/>
          <w:szCs w:val="22"/>
          <w:lang w:val="es-CO"/>
        </w:rPr>
        <w:t>s</w:t>
      </w:r>
    </w:p>
    <w:tbl>
      <w:tblPr>
        <w:tblW w:w="4814" w:type="pct"/>
        <w:jc w:val="center"/>
        <w:tblCellMar>
          <w:left w:w="70" w:type="dxa"/>
          <w:right w:w="70" w:type="dxa"/>
        </w:tblCellMar>
        <w:tblLook w:val="04A0" w:firstRow="1" w:lastRow="0" w:firstColumn="1" w:lastColumn="0" w:noHBand="0" w:noVBand="1"/>
      </w:tblPr>
      <w:tblGrid>
        <w:gridCol w:w="6652"/>
        <w:gridCol w:w="2165"/>
      </w:tblGrid>
      <w:tr w:rsidR="002A1377" w:rsidRPr="00FB4850" w14:paraId="6B92D21C" w14:textId="77777777" w:rsidTr="006A1B70">
        <w:trPr>
          <w:trHeight w:val="360"/>
          <w:tblHeader/>
          <w:jc w:val="center"/>
        </w:trPr>
        <w:tc>
          <w:tcPr>
            <w:tcW w:w="5000" w:type="pct"/>
            <w:gridSpan w:val="2"/>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2BFEDDE1" w14:textId="77777777" w:rsidR="002A1377" w:rsidRPr="00FB4850" w:rsidRDefault="002A1377" w:rsidP="0059013B">
            <w:pPr>
              <w:jc w:val="center"/>
              <w:rPr>
                <w:rFonts w:eastAsia="Times New Roman" w:cs="Calibri"/>
                <w:b/>
                <w:bCs/>
                <w:color w:val="FFFFFF"/>
                <w:sz w:val="22"/>
                <w:szCs w:val="22"/>
                <w:lang w:val="es-CO" w:eastAsia="es-CO"/>
              </w:rPr>
            </w:pPr>
            <w:bookmarkStart w:id="14" w:name="_Toc509835313"/>
            <w:r w:rsidRPr="00FB4850">
              <w:rPr>
                <w:rFonts w:eastAsia="Times New Roman" w:cs="Calibri"/>
                <w:b/>
                <w:bCs/>
                <w:color w:val="FFFFFF"/>
                <w:sz w:val="22"/>
                <w:szCs w:val="22"/>
                <w:lang w:val="es-CO" w:eastAsia="es-CO"/>
              </w:rPr>
              <w:t>Solicitud base 2021</w:t>
            </w:r>
          </w:p>
        </w:tc>
      </w:tr>
      <w:tr w:rsidR="002A1377" w:rsidRPr="00FB4850" w14:paraId="4E1E9986" w14:textId="77777777" w:rsidTr="006A1B70">
        <w:trPr>
          <w:trHeight w:val="360"/>
          <w:tblHeader/>
          <w:jc w:val="center"/>
        </w:trPr>
        <w:tc>
          <w:tcPr>
            <w:tcW w:w="3772" w:type="pct"/>
            <w:tcBorders>
              <w:top w:val="nil"/>
              <w:left w:val="single" w:sz="8" w:space="0" w:color="BFBFBF"/>
              <w:bottom w:val="single" w:sz="8" w:space="0" w:color="BFBFBF"/>
              <w:right w:val="single" w:sz="8" w:space="0" w:color="BFBFBF"/>
            </w:tcBorders>
            <w:shd w:val="clear" w:color="auto" w:fill="BFBFBF" w:themeFill="background1" w:themeFillShade="BF"/>
            <w:vAlign w:val="center"/>
            <w:hideMark/>
          </w:tcPr>
          <w:p w14:paraId="7A93600C" w14:textId="77777777" w:rsidR="002A1377" w:rsidRPr="00FB4850" w:rsidRDefault="002A1377" w:rsidP="0059013B">
            <w:pPr>
              <w:jc w:val="center"/>
              <w:rPr>
                <w:rFonts w:eastAsia="Times New Roman" w:cs="Calibri"/>
                <w:b/>
                <w:bCs/>
                <w:color w:val="000000" w:themeColor="text1"/>
                <w:sz w:val="22"/>
                <w:szCs w:val="22"/>
                <w:lang w:val="es-CO" w:eastAsia="es-CO"/>
              </w:rPr>
            </w:pPr>
            <w:r w:rsidRPr="00FB4850">
              <w:rPr>
                <w:rFonts w:eastAsia="Times New Roman" w:cs="Calibri"/>
                <w:b/>
                <w:bCs/>
                <w:color w:val="000000" w:themeColor="text1"/>
                <w:sz w:val="22"/>
                <w:szCs w:val="22"/>
                <w:lang w:val="es-CO" w:eastAsia="es-CO"/>
              </w:rPr>
              <w:t>Cuenta</w:t>
            </w:r>
          </w:p>
        </w:tc>
        <w:tc>
          <w:tcPr>
            <w:tcW w:w="1228" w:type="pct"/>
            <w:tcBorders>
              <w:top w:val="nil"/>
              <w:left w:val="nil"/>
              <w:bottom w:val="single" w:sz="8" w:space="0" w:color="BFBFBF"/>
              <w:right w:val="single" w:sz="8" w:space="0" w:color="BFBFBF"/>
            </w:tcBorders>
            <w:shd w:val="clear" w:color="auto" w:fill="BFBFBF" w:themeFill="background1" w:themeFillShade="BF"/>
            <w:vAlign w:val="center"/>
            <w:hideMark/>
          </w:tcPr>
          <w:p w14:paraId="02D8B183" w14:textId="77777777" w:rsidR="002A1377" w:rsidRPr="00FB4850" w:rsidRDefault="002A1377" w:rsidP="0059013B">
            <w:pPr>
              <w:jc w:val="center"/>
              <w:rPr>
                <w:rFonts w:eastAsia="Times New Roman" w:cs="Calibri"/>
                <w:b/>
                <w:bCs/>
                <w:color w:val="000000" w:themeColor="text1"/>
                <w:sz w:val="22"/>
                <w:szCs w:val="22"/>
                <w:lang w:val="es-CO" w:eastAsia="es-CO"/>
              </w:rPr>
            </w:pPr>
            <w:r w:rsidRPr="00FB4850">
              <w:rPr>
                <w:rFonts w:eastAsia="Times New Roman" w:cs="Calibri"/>
                <w:b/>
                <w:bCs/>
                <w:color w:val="000000" w:themeColor="text1"/>
                <w:sz w:val="22"/>
                <w:szCs w:val="22"/>
                <w:lang w:val="es-CO" w:eastAsia="es-CO"/>
              </w:rPr>
              <w:t>Valor</w:t>
            </w:r>
          </w:p>
        </w:tc>
      </w:tr>
      <w:tr w:rsidR="002A1377" w:rsidRPr="00E409BC" w14:paraId="36DD6F1D" w14:textId="77777777" w:rsidTr="006A1B70">
        <w:trPr>
          <w:trHeight w:val="345"/>
          <w:jc w:val="center"/>
        </w:trPr>
        <w:tc>
          <w:tcPr>
            <w:tcW w:w="3772" w:type="pct"/>
            <w:tcBorders>
              <w:top w:val="nil"/>
              <w:left w:val="single" w:sz="8" w:space="0" w:color="BFBFBF"/>
              <w:bottom w:val="single" w:sz="8" w:space="0" w:color="BFBFBF"/>
              <w:right w:val="single" w:sz="8" w:space="0" w:color="BFBFBF"/>
            </w:tcBorders>
            <w:shd w:val="clear" w:color="000000" w:fill="E7E6E6"/>
            <w:vAlign w:val="center"/>
            <w:hideMark/>
          </w:tcPr>
          <w:p w14:paraId="06F48699"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Gastos de Personal</w:t>
            </w:r>
          </w:p>
        </w:tc>
        <w:tc>
          <w:tcPr>
            <w:tcW w:w="1228" w:type="pct"/>
            <w:tcBorders>
              <w:top w:val="nil"/>
              <w:left w:val="nil"/>
              <w:bottom w:val="single" w:sz="8" w:space="0" w:color="BFBFBF"/>
              <w:right w:val="single" w:sz="8" w:space="0" w:color="BFBFBF"/>
            </w:tcBorders>
            <w:shd w:val="clear" w:color="000000" w:fill="E7E6E6"/>
            <w:vAlign w:val="center"/>
            <w:hideMark/>
          </w:tcPr>
          <w:p w14:paraId="6DDC48B0"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$182.486.838.793 </w:t>
            </w:r>
          </w:p>
        </w:tc>
      </w:tr>
      <w:tr w:rsidR="002A1377" w:rsidRPr="0016038F" w14:paraId="013ECA79" w14:textId="77777777" w:rsidTr="006A1B70">
        <w:trPr>
          <w:trHeight w:val="297"/>
          <w:jc w:val="center"/>
        </w:trPr>
        <w:tc>
          <w:tcPr>
            <w:tcW w:w="3772" w:type="pct"/>
            <w:tcBorders>
              <w:top w:val="nil"/>
              <w:left w:val="single" w:sz="8" w:space="0" w:color="BFBFBF"/>
              <w:bottom w:val="nil"/>
              <w:right w:val="single" w:sz="8" w:space="0" w:color="BFBFBF"/>
            </w:tcBorders>
            <w:vAlign w:val="center"/>
            <w:hideMark/>
          </w:tcPr>
          <w:p w14:paraId="67FC8A05" w14:textId="77777777" w:rsidR="002A1377" w:rsidRPr="00FB4850" w:rsidRDefault="002A1377" w:rsidP="0059013B">
            <w:pPr>
              <w:jc w:val="center"/>
              <w:rPr>
                <w:rFonts w:eastAsia="Times New Roman" w:cs="Calibri"/>
                <w:color w:val="000000"/>
                <w:sz w:val="22"/>
                <w:szCs w:val="22"/>
                <w:lang w:val="es-CO" w:eastAsia="es-CO"/>
              </w:rPr>
            </w:pPr>
            <w:r w:rsidRPr="00FB4850">
              <w:rPr>
                <w:rFonts w:eastAsia="Times New Roman" w:cs="Calibri"/>
                <w:color w:val="000000"/>
                <w:sz w:val="22"/>
                <w:szCs w:val="22"/>
                <w:lang w:val="es-CO" w:eastAsia="es-CO"/>
              </w:rPr>
              <w:t>Planta vigente JEP</w:t>
            </w:r>
          </w:p>
        </w:tc>
        <w:tc>
          <w:tcPr>
            <w:tcW w:w="1228" w:type="pct"/>
            <w:tcBorders>
              <w:top w:val="nil"/>
              <w:left w:val="single" w:sz="8" w:space="0" w:color="BFBFBF"/>
              <w:bottom w:val="nil"/>
              <w:right w:val="single" w:sz="8" w:space="0" w:color="BFBFBF"/>
            </w:tcBorders>
            <w:vAlign w:val="center"/>
            <w:hideMark/>
          </w:tcPr>
          <w:p w14:paraId="5E47BD87" w14:textId="77777777" w:rsidR="002A1377" w:rsidRPr="00FB4850" w:rsidRDefault="002A1377" w:rsidP="0059013B">
            <w:pPr>
              <w:jc w:val="center"/>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$182.486.838.793 </w:t>
            </w:r>
          </w:p>
        </w:tc>
      </w:tr>
      <w:tr w:rsidR="002A1377" w:rsidRPr="0016038F" w14:paraId="241A2E8C" w14:textId="77777777" w:rsidTr="006A1B70">
        <w:trPr>
          <w:trHeight w:val="80"/>
          <w:jc w:val="center"/>
        </w:trPr>
        <w:tc>
          <w:tcPr>
            <w:tcW w:w="3772" w:type="pct"/>
            <w:tcBorders>
              <w:top w:val="nil"/>
              <w:left w:val="single" w:sz="8" w:space="0" w:color="BFBFBF"/>
              <w:bottom w:val="single" w:sz="8" w:space="0" w:color="BFBFBF"/>
              <w:right w:val="single" w:sz="8" w:space="0" w:color="BFBFBF"/>
            </w:tcBorders>
            <w:shd w:val="clear" w:color="000000" w:fill="E7E6E6"/>
            <w:vAlign w:val="center"/>
          </w:tcPr>
          <w:p w14:paraId="60EA430C"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Transferencias corrientes</w:t>
            </w:r>
          </w:p>
        </w:tc>
        <w:tc>
          <w:tcPr>
            <w:tcW w:w="1228" w:type="pct"/>
            <w:tcBorders>
              <w:top w:val="nil"/>
              <w:left w:val="nil"/>
              <w:bottom w:val="single" w:sz="8" w:space="0" w:color="BFBFBF"/>
              <w:right w:val="single" w:sz="8" w:space="0" w:color="BFBFBF"/>
            </w:tcBorders>
            <w:shd w:val="clear" w:color="000000" w:fill="E7E6E6"/>
            <w:vAlign w:val="center"/>
          </w:tcPr>
          <w:p w14:paraId="161AFAF4"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$229.148.713 </w:t>
            </w:r>
          </w:p>
        </w:tc>
      </w:tr>
      <w:tr w:rsidR="002A1377" w:rsidRPr="00FB4850" w14:paraId="41DF3C4A" w14:textId="77777777" w:rsidTr="006A1B70">
        <w:trPr>
          <w:trHeight w:val="67"/>
          <w:jc w:val="center"/>
        </w:trPr>
        <w:tc>
          <w:tcPr>
            <w:tcW w:w="3772" w:type="pct"/>
            <w:tcBorders>
              <w:top w:val="nil"/>
              <w:left w:val="single" w:sz="8" w:space="0" w:color="BFBFBF"/>
              <w:bottom w:val="nil"/>
              <w:right w:val="single" w:sz="8" w:space="0" w:color="BFBFBF"/>
            </w:tcBorders>
            <w:shd w:val="clear" w:color="000000" w:fill="FFFFFF"/>
            <w:vAlign w:val="center"/>
            <w:hideMark/>
          </w:tcPr>
          <w:p w14:paraId="1B78646A" w14:textId="77777777" w:rsidR="002A1377" w:rsidRPr="00FB4850" w:rsidRDefault="002A1377" w:rsidP="0059013B">
            <w:pPr>
              <w:jc w:val="center"/>
              <w:rPr>
                <w:rFonts w:eastAsia="Times New Roman" w:cs="Calibri"/>
                <w:color w:val="000000"/>
                <w:sz w:val="22"/>
                <w:szCs w:val="22"/>
                <w:lang w:val="es-CO" w:eastAsia="es-CO"/>
              </w:rPr>
            </w:pPr>
            <w:r w:rsidRPr="00FB4850">
              <w:rPr>
                <w:rFonts w:eastAsia="Times New Roman" w:cs="Calibri"/>
                <w:color w:val="000000"/>
                <w:sz w:val="22"/>
                <w:szCs w:val="22"/>
                <w:lang w:val="es-CO" w:eastAsia="es-CO"/>
              </w:rPr>
              <w:t>Planta vigente JEP</w:t>
            </w:r>
          </w:p>
        </w:tc>
        <w:tc>
          <w:tcPr>
            <w:tcW w:w="1228" w:type="pct"/>
            <w:tcBorders>
              <w:top w:val="nil"/>
              <w:left w:val="single" w:sz="8" w:space="0" w:color="BFBFBF"/>
              <w:bottom w:val="nil"/>
              <w:right w:val="single" w:sz="8" w:space="0" w:color="BFBFBF"/>
            </w:tcBorders>
            <w:shd w:val="clear" w:color="000000" w:fill="FFFFFF"/>
            <w:vAlign w:val="center"/>
            <w:hideMark/>
          </w:tcPr>
          <w:p w14:paraId="74B0E8C8" w14:textId="77777777" w:rsidR="002A1377" w:rsidRPr="00FB4850" w:rsidRDefault="002A1377" w:rsidP="0059013B">
            <w:pPr>
              <w:jc w:val="center"/>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$229.148.713 </w:t>
            </w:r>
          </w:p>
        </w:tc>
      </w:tr>
      <w:tr w:rsidR="002A1377" w:rsidRPr="00FB4850" w14:paraId="62E7174F" w14:textId="77777777" w:rsidTr="006A1B70">
        <w:trPr>
          <w:trHeight w:val="81"/>
          <w:jc w:val="center"/>
        </w:trPr>
        <w:tc>
          <w:tcPr>
            <w:tcW w:w="3772" w:type="pct"/>
            <w:tcBorders>
              <w:top w:val="nil"/>
              <w:left w:val="single" w:sz="8" w:space="0" w:color="BFBFBF"/>
              <w:bottom w:val="single" w:sz="8" w:space="0" w:color="BFBFBF"/>
              <w:right w:val="single" w:sz="8" w:space="0" w:color="BFBFBF"/>
            </w:tcBorders>
            <w:shd w:val="clear" w:color="000000" w:fill="E7E6E6"/>
            <w:vAlign w:val="center"/>
            <w:hideMark/>
          </w:tcPr>
          <w:p w14:paraId="2C18B1A2"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Adquisición bienes y servicios</w:t>
            </w:r>
          </w:p>
        </w:tc>
        <w:tc>
          <w:tcPr>
            <w:tcW w:w="1228" w:type="pct"/>
            <w:tcBorders>
              <w:top w:val="nil"/>
              <w:left w:val="nil"/>
              <w:bottom w:val="single" w:sz="8" w:space="0" w:color="BFBFBF"/>
              <w:right w:val="single" w:sz="8" w:space="0" w:color="BFBFBF"/>
            </w:tcBorders>
            <w:shd w:val="clear" w:color="000000" w:fill="E7E6E6"/>
            <w:vAlign w:val="center"/>
            <w:hideMark/>
          </w:tcPr>
          <w:p w14:paraId="4A636A05" w14:textId="77777777" w:rsidR="002A1377" w:rsidRPr="00FB4850" w:rsidRDefault="002A1377" w:rsidP="0059013B">
            <w:pPr>
              <w:jc w:val="right"/>
              <w:rPr>
                <w:rFonts w:eastAsia="Times New Roman" w:cs="Calibri"/>
                <w:color w:val="000000"/>
                <w:sz w:val="22"/>
                <w:szCs w:val="22"/>
                <w:lang w:val="es-CO" w:eastAsia="es-CO"/>
              </w:rPr>
            </w:pPr>
            <w:r>
              <w:rPr>
                <w:rFonts w:eastAsia="Times New Roman" w:cs="Calibri"/>
                <w:color w:val="000000"/>
                <w:sz w:val="22"/>
                <w:szCs w:val="22"/>
                <w:lang w:val="es-CO" w:eastAsia="es-CO"/>
              </w:rPr>
              <w:t>$</w:t>
            </w:r>
            <w:r w:rsidRPr="00FB4850">
              <w:rPr>
                <w:rFonts w:eastAsia="Times New Roman" w:cs="Calibri"/>
                <w:color w:val="000000"/>
                <w:sz w:val="22"/>
                <w:szCs w:val="22"/>
                <w:lang w:val="es-CO" w:eastAsia="es-CO"/>
              </w:rPr>
              <w:t xml:space="preserve">35.322.089.990 </w:t>
            </w:r>
          </w:p>
        </w:tc>
      </w:tr>
      <w:tr w:rsidR="002A1377" w:rsidRPr="00FB4850" w14:paraId="3E79DA1F" w14:textId="77777777" w:rsidTr="006A1B70">
        <w:trPr>
          <w:trHeight w:val="60"/>
          <w:jc w:val="center"/>
        </w:trPr>
        <w:tc>
          <w:tcPr>
            <w:tcW w:w="3772" w:type="pct"/>
            <w:tcBorders>
              <w:top w:val="nil"/>
              <w:left w:val="single" w:sz="8" w:space="0" w:color="BFBFBF"/>
              <w:bottom w:val="single" w:sz="8" w:space="0" w:color="BFBFBF"/>
              <w:right w:val="single" w:sz="8" w:space="0" w:color="BFBFBF"/>
            </w:tcBorders>
            <w:shd w:val="clear" w:color="000000" w:fill="E7E6E6"/>
            <w:vAlign w:val="center"/>
            <w:hideMark/>
          </w:tcPr>
          <w:p w14:paraId="56761534"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Gastos por tributos, multas, sanciones e intereses de mora </w:t>
            </w:r>
          </w:p>
        </w:tc>
        <w:tc>
          <w:tcPr>
            <w:tcW w:w="1228" w:type="pct"/>
            <w:tcBorders>
              <w:top w:val="nil"/>
              <w:left w:val="nil"/>
              <w:bottom w:val="single" w:sz="8" w:space="0" w:color="BFBFBF"/>
              <w:right w:val="single" w:sz="8" w:space="0" w:color="BFBFBF"/>
            </w:tcBorders>
            <w:shd w:val="clear" w:color="000000" w:fill="E7E6E6"/>
            <w:vAlign w:val="center"/>
            <w:hideMark/>
          </w:tcPr>
          <w:p w14:paraId="0B184E20" w14:textId="77777777" w:rsidR="002A1377" w:rsidRPr="00FB4850" w:rsidRDefault="002A1377" w:rsidP="0059013B">
            <w:pPr>
              <w:jc w:val="right"/>
              <w:rPr>
                <w:rFonts w:eastAsia="Times New Roman" w:cs="Calibri"/>
                <w:color w:val="000000"/>
                <w:sz w:val="22"/>
                <w:szCs w:val="22"/>
                <w:lang w:val="es-CO" w:eastAsia="es-CO"/>
              </w:rPr>
            </w:pPr>
            <w:r w:rsidRPr="00FB4850">
              <w:rPr>
                <w:rFonts w:eastAsia="Times New Roman" w:cs="Calibri"/>
                <w:color w:val="000000"/>
                <w:sz w:val="22"/>
                <w:szCs w:val="22"/>
                <w:lang w:val="es-CO" w:eastAsia="es-CO"/>
              </w:rPr>
              <w:t xml:space="preserve">$404.000.000 </w:t>
            </w:r>
          </w:p>
        </w:tc>
      </w:tr>
      <w:tr w:rsidR="002A1377" w:rsidRPr="0016038F" w14:paraId="7671B2B1" w14:textId="77777777" w:rsidTr="006A1B70">
        <w:trPr>
          <w:trHeight w:val="60"/>
          <w:jc w:val="center"/>
        </w:trPr>
        <w:tc>
          <w:tcPr>
            <w:tcW w:w="3772" w:type="pct"/>
            <w:tcBorders>
              <w:top w:val="nil"/>
              <w:left w:val="single" w:sz="8" w:space="0" w:color="BFBFBF"/>
              <w:bottom w:val="single" w:sz="8" w:space="0" w:color="BFBFBF"/>
              <w:right w:val="single" w:sz="8" w:space="0" w:color="BFBFBF"/>
            </w:tcBorders>
            <w:shd w:val="clear" w:color="000000" w:fill="002060"/>
            <w:vAlign w:val="center"/>
            <w:hideMark/>
          </w:tcPr>
          <w:p w14:paraId="63B1AF73" w14:textId="77777777" w:rsidR="002A1377" w:rsidRPr="00FB4850" w:rsidRDefault="002A1377" w:rsidP="0059013B">
            <w:pPr>
              <w:jc w:val="center"/>
              <w:rPr>
                <w:rFonts w:eastAsia="Times New Roman" w:cs="Calibri"/>
                <w:b/>
                <w:bCs/>
                <w:color w:val="FFFFFF"/>
                <w:sz w:val="22"/>
                <w:szCs w:val="22"/>
                <w:lang w:val="es-CO" w:eastAsia="es-CO"/>
              </w:rPr>
            </w:pPr>
            <w:r>
              <w:rPr>
                <w:rFonts w:eastAsia="Times New Roman" w:cs="Calibri"/>
                <w:b/>
                <w:bCs/>
                <w:color w:val="FFFFFF"/>
                <w:sz w:val="22"/>
                <w:szCs w:val="22"/>
                <w:lang w:val="es-CO" w:eastAsia="es-CO"/>
              </w:rPr>
              <w:t>F</w:t>
            </w:r>
            <w:r w:rsidRPr="00FB4850">
              <w:rPr>
                <w:rFonts w:eastAsia="Times New Roman" w:cs="Calibri"/>
                <w:b/>
                <w:bCs/>
                <w:color w:val="FFFFFF"/>
                <w:sz w:val="22"/>
                <w:szCs w:val="22"/>
                <w:lang w:val="es-CO" w:eastAsia="es-CO"/>
              </w:rPr>
              <w:t>uncionamiento base</w:t>
            </w:r>
          </w:p>
        </w:tc>
        <w:tc>
          <w:tcPr>
            <w:tcW w:w="1228" w:type="pct"/>
            <w:tcBorders>
              <w:top w:val="nil"/>
              <w:left w:val="nil"/>
              <w:bottom w:val="single" w:sz="8" w:space="0" w:color="BFBFBF"/>
              <w:right w:val="single" w:sz="8" w:space="0" w:color="BFBFBF"/>
            </w:tcBorders>
            <w:shd w:val="clear" w:color="000000" w:fill="002060"/>
            <w:vAlign w:val="center"/>
            <w:hideMark/>
          </w:tcPr>
          <w:p w14:paraId="32A4C6F7" w14:textId="77777777" w:rsidR="002A1377" w:rsidRPr="00FB4850" w:rsidRDefault="002A1377" w:rsidP="0059013B">
            <w:pPr>
              <w:jc w:val="center"/>
              <w:rPr>
                <w:rFonts w:eastAsia="Times New Roman" w:cs="Calibri"/>
                <w:b/>
                <w:bCs/>
                <w:color w:val="FFFFFF"/>
                <w:sz w:val="22"/>
                <w:szCs w:val="22"/>
                <w:lang w:val="es-CO" w:eastAsia="es-CO"/>
              </w:rPr>
            </w:pPr>
            <w:r w:rsidRPr="00FB4850">
              <w:rPr>
                <w:rFonts w:eastAsia="Times New Roman" w:cs="Calibri"/>
                <w:b/>
                <w:bCs/>
                <w:color w:val="FFFFFF"/>
                <w:sz w:val="22"/>
                <w:szCs w:val="22"/>
                <w:lang w:val="es-CO" w:eastAsia="es-CO"/>
              </w:rPr>
              <w:t xml:space="preserve">$218.442.077.496 </w:t>
            </w:r>
          </w:p>
        </w:tc>
      </w:tr>
    </w:tbl>
    <w:p w14:paraId="5B07B55C" w14:textId="77777777" w:rsidR="00E22200" w:rsidRPr="00E22200" w:rsidRDefault="00E22200" w:rsidP="00DB3190">
      <w:pPr>
        <w:pStyle w:val="Ttulo4"/>
        <w:spacing w:before="0"/>
        <w:rPr>
          <w:rFonts w:ascii="Palatino Linotype" w:hAnsi="Palatino Linotype"/>
          <w:sz w:val="18"/>
          <w:szCs w:val="18"/>
        </w:rPr>
      </w:pPr>
    </w:p>
    <w:p w14:paraId="22B1E5AE" w14:textId="7E56344F" w:rsidR="00357226" w:rsidRPr="00B17E11" w:rsidRDefault="00357226" w:rsidP="00DB3190">
      <w:pPr>
        <w:pStyle w:val="Ttulo4"/>
        <w:numPr>
          <w:ilvl w:val="0"/>
          <w:numId w:val="26"/>
        </w:numPr>
        <w:spacing w:before="0"/>
        <w:rPr>
          <w:rFonts w:ascii="Palatino Linotype" w:hAnsi="Palatino Linotype"/>
          <w:b/>
        </w:rPr>
      </w:pPr>
      <w:bookmarkStart w:id="15" w:name="_Toc36031117"/>
      <w:r w:rsidRPr="00B17E11">
        <w:rPr>
          <w:rFonts w:ascii="Palatino Linotype" w:hAnsi="Palatino Linotype"/>
          <w:b/>
        </w:rPr>
        <w:t>G</w:t>
      </w:r>
      <w:r w:rsidR="00D77A19" w:rsidRPr="00B17E11">
        <w:rPr>
          <w:rFonts w:ascii="Palatino Linotype" w:hAnsi="Palatino Linotype"/>
          <w:b/>
        </w:rPr>
        <w:t>astos de personal</w:t>
      </w:r>
      <w:bookmarkEnd w:id="14"/>
      <w:bookmarkEnd w:id="15"/>
      <w:r w:rsidR="00D77A19" w:rsidRPr="00B17E11">
        <w:rPr>
          <w:rFonts w:ascii="Palatino Linotype" w:hAnsi="Palatino Linotype"/>
          <w:b/>
        </w:rPr>
        <w:t xml:space="preserve"> </w:t>
      </w:r>
    </w:p>
    <w:p w14:paraId="5E463991" w14:textId="0BAE05CF" w:rsidR="00921869" w:rsidRPr="00942B99" w:rsidRDefault="00921869" w:rsidP="00DB3190">
      <w:pPr>
        <w:pStyle w:val="textocorrido"/>
        <w:spacing w:before="0"/>
        <w:jc w:val="both"/>
        <w:rPr>
          <w:rFonts w:ascii="Palatino Linotype" w:hAnsi="Palatino Linotype"/>
          <w:color w:val="000000" w:themeColor="text1"/>
          <w:sz w:val="24"/>
          <w:lang w:val="es-CO"/>
        </w:rPr>
      </w:pPr>
      <w:r w:rsidRPr="00942B99">
        <w:rPr>
          <w:rFonts w:ascii="Palatino Linotype" w:hAnsi="Palatino Linotype"/>
          <w:color w:val="000000" w:themeColor="text1"/>
          <w:sz w:val="24"/>
          <w:lang w:val="es-CO"/>
        </w:rPr>
        <w:t>Los gastos del personal de la JEP se calcularon teniendo en cuenta el Decreto 1760 de 2017 que fija el régimen salarial de la Magistratura, el Decreto 2107 de 2017 que fija el régimen salarial del director y los fiscales de la Unidad de Investigación y Acusación y Secretaría Ejecutiva, y el régimen salarial y prestacional de los funcionarios y empleados de la JEP establecido en el Decreto 266 de 2018.</w:t>
      </w:r>
      <w:r w:rsidR="00110755" w:rsidRPr="00942B99">
        <w:rPr>
          <w:rFonts w:ascii="Palatino Linotype" w:hAnsi="Palatino Linotype"/>
          <w:color w:val="000000" w:themeColor="text1"/>
          <w:sz w:val="24"/>
          <w:lang w:val="es-CO"/>
        </w:rPr>
        <w:t xml:space="preserve"> </w:t>
      </w:r>
      <w:r w:rsidRPr="00942B99">
        <w:rPr>
          <w:rFonts w:ascii="Palatino Linotype" w:hAnsi="Palatino Linotype"/>
          <w:color w:val="000000" w:themeColor="text1"/>
          <w:sz w:val="24"/>
          <w:lang w:val="es-CO"/>
        </w:rPr>
        <w:t>Además, se tuvieron en cuenta la normatividad propia de la JEP</w:t>
      </w:r>
      <w:r w:rsidR="00CF68AE" w:rsidRPr="00942B99">
        <w:rPr>
          <w:rFonts w:ascii="Palatino Linotype" w:hAnsi="Palatino Linotype"/>
          <w:color w:val="000000" w:themeColor="text1"/>
          <w:sz w:val="24"/>
          <w:lang w:val="es-CO"/>
        </w:rPr>
        <w:t xml:space="preserve"> en el marco de los Acuerdos del Órgano de Gobierno que tratan asuntos relativos a la planta de personal de la Jurisdicción. </w:t>
      </w:r>
    </w:p>
    <w:p w14:paraId="0482EE7D" w14:textId="77777777" w:rsidR="00921869" w:rsidRPr="00942B99" w:rsidRDefault="00921869" w:rsidP="00DB3190">
      <w:pPr>
        <w:rPr>
          <w:color w:val="000000" w:themeColor="text1"/>
          <w:lang w:val="es-CO" w:eastAsia="es-ES_tradnl"/>
        </w:rPr>
      </w:pPr>
    </w:p>
    <w:p w14:paraId="2BF9A954" w14:textId="64BC6A3F" w:rsidR="00C15291" w:rsidRPr="00942B99" w:rsidRDefault="00486032" w:rsidP="00DB3190">
      <w:pPr>
        <w:jc w:val="both"/>
        <w:rPr>
          <w:rFonts w:cs="Arial"/>
          <w:color w:val="000000" w:themeColor="text1"/>
          <w:lang w:val="es-CO"/>
        </w:rPr>
      </w:pPr>
      <w:r w:rsidRPr="00942B99">
        <w:rPr>
          <w:rFonts w:cs="Arial"/>
          <w:color w:val="000000" w:themeColor="text1"/>
          <w:lang w:val="es-CO"/>
        </w:rPr>
        <w:t xml:space="preserve">Para realizar el cálculo del valor de los sueldos y demás gastos inherentes a la nómina de la planta vigente de la JEP, se tuvo en cuenta el total de 894 cargos autorizados para planta desde el 1 de enero al 31 de diciembre de 2021, </w:t>
      </w:r>
      <w:r w:rsidR="00110755" w:rsidRPr="00942B99">
        <w:rPr>
          <w:rFonts w:cs="Arial"/>
          <w:color w:val="000000" w:themeColor="text1"/>
          <w:lang w:val="es-CO"/>
        </w:rPr>
        <w:t>realizando un incremento del 5,12</w:t>
      </w:r>
      <w:r w:rsidRPr="00942B99">
        <w:rPr>
          <w:rFonts w:cs="Arial"/>
          <w:color w:val="000000" w:themeColor="text1"/>
          <w:lang w:val="es-CO"/>
        </w:rPr>
        <w:t xml:space="preserve">% a los valores actuales, que corresponde </w:t>
      </w:r>
      <w:r w:rsidR="00110755" w:rsidRPr="00942B99">
        <w:rPr>
          <w:color w:val="000000" w:themeColor="text1"/>
          <w:lang w:val="es-CO"/>
        </w:rPr>
        <w:t>corresp</w:t>
      </w:r>
      <w:r w:rsidR="00921437" w:rsidRPr="00942B99">
        <w:rPr>
          <w:color w:val="000000" w:themeColor="text1"/>
          <w:lang w:val="es-CO"/>
        </w:rPr>
        <w:t>ondiente al porcentaje acordado de incremento en la Rama Judicial</w:t>
      </w:r>
      <w:r w:rsidR="00110755" w:rsidRPr="00942B99">
        <w:rPr>
          <w:color w:val="000000" w:themeColor="text1"/>
          <w:lang w:val="es-CO"/>
        </w:rPr>
        <w:t>.</w:t>
      </w:r>
      <w:r w:rsidR="00C15291" w:rsidRPr="00942B99">
        <w:rPr>
          <w:color w:val="000000" w:themeColor="text1"/>
          <w:lang w:val="es-CO"/>
        </w:rPr>
        <w:t xml:space="preserve"> </w:t>
      </w:r>
      <w:r w:rsidR="00C15291" w:rsidRPr="00942B99">
        <w:rPr>
          <w:rFonts w:cs="Arial"/>
          <w:color w:val="000000" w:themeColor="text1"/>
          <w:lang w:val="es-CO"/>
        </w:rPr>
        <w:t>Así mismo</w:t>
      </w:r>
      <w:r w:rsidR="00921437" w:rsidRPr="00942B99">
        <w:rPr>
          <w:rFonts w:cs="Arial"/>
          <w:color w:val="000000" w:themeColor="text1"/>
          <w:lang w:val="es-CO"/>
        </w:rPr>
        <w:t>,</w:t>
      </w:r>
      <w:r w:rsidR="00C15291" w:rsidRPr="00942B99">
        <w:rPr>
          <w:rFonts w:cs="Arial"/>
          <w:color w:val="000000" w:themeColor="text1"/>
          <w:lang w:val="es-CO"/>
        </w:rPr>
        <w:t xml:space="preserve"> es importante indicar que la planta de la entidad será provista en su totalidad, por lo que el monto requerido por la entidad es el total de planta.</w:t>
      </w:r>
    </w:p>
    <w:p w14:paraId="07236A4F" w14:textId="77777777" w:rsidR="00110755" w:rsidRPr="00942B99" w:rsidRDefault="00110755" w:rsidP="00DB3190">
      <w:pPr>
        <w:jc w:val="both"/>
        <w:rPr>
          <w:rFonts w:cs="Arial"/>
          <w:color w:val="000000" w:themeColor="text1"/>
          <w:lang w:val="es-CO"/>
        </w:rPr>
      </w:pPr>
    </w:p>
    <w:p w14:paraId="65DE34A6" w14:textId="382FB2E8" w:rsidR="001F1773" w:rsidRPr="00E22200" w:rsidRDefault="00466CD5" w:rsidP="006A1B70">
      <w:pPr>
        <w:jc w:val="both"/>
        <w:rPr>
          <w:sz w:val="18"/>
          <w:szCs w:val="18"/>
          <w:lang w:val="es-CO" w:eastAsia="es-ES_tradnl"/>
        </w:rPr>
      </w:pPr>
      <w:r w:rsidRPr="00942B99">
        <w:rPr>
          <w:rFonts w:cs="Arial"/>
          <w:color w:val="000000" w:themeColor="text1"/>
          <w:lang w:val="es-CO"/>
        </w:rPr>
        <w:t xml:space="preserve">En el Anexo </w:t>
      </w:r>
      <w:proofErr w:type="spellStart"/>
      <w:r w:rsidRPr="00942B99">
        <w:rPr>
          <w:rFonts w:cs="Arial"/>
          <w:color w:val="000000" w:themeColor="text1"/>
          <w:lang w:val="es-CO"/>
        </w:rPr>
        <w:t>N.°</w:t>
      </w:r>
      <w:proofErr w:type="spellEnd"/>
      <w:r w:rsidRPr="00942B99">
        <w:rPr>
          <w:rFonts w:cs="Arial"/>
          <w:color w:val="000000" w:themeColor="text1"/>
          <w:lang w:val="es-CO"/>
        </w:rPr>
        <w:t xml:space="preserve"> 1 - Formulario 4 y 4A – Gastos Personal de Nómina, del MHCP, se detallan los Gastos de Personal proyectados ajustados, teniendo en cuenta el tope asignado.</w:t>
      </w:r>
      <w:r w:rsidR="00C60B55" w:rsidRPr="00942B99">
        <w:rPr>
          <w:rFonts w:cs="Arial"/>
          <w:color w:val="000000" w:themeColor="text1"/>
          <w:lang w:val="es-CO"/>
        </w:rPr>
        <w:t xml:space="preserve"> </w:t>
      </w:r>
    </w:p>
    <w:p w14:paraId="33CEF10D" w14:textId="70E2D453" w:rsidR="00D77A19" w:rsidRPr="00B17E11" w:rsidRDefault="00D77A19" w:rsidP="00DB3190">
      <w:pPr>
        <w:pStyle w:val="Ttulo4"/>
        <w:numPr>
          <w:ilvl w:val="0"/>
          <w:numId w:val="26"/>
        </w:numPr>
        <w:spacing w:before="0"/>
        <w:rPr>
          <w:rFonts w:ascii="Palatino Linotype" w:hAnsi="Palatino Linotype"/>
          <w:b/>
        </w:rPr>
      </w:pPr>
      <w:bookmarkStart w:id="16" w:name="_Toc36031118"/>
      <w:r w:rsidRPr="00B17E11">
        <w:rPr>
          <w:rFonts w:ascii="Palatino Linotype" w:hAnsi="Palatino Linotype"/>
          <w:b/>
        </w:rPr>
        <w:t>Adquisición de bienes y servicios</w:t>
      </w:r>
      <w:bookmarkEnd w:id="16"/>
    </w:p>
    <w:p w14:paraId="7F1A8A8B" w14:textId="2FE58F5C" w:rsidR="00AB5FD1" w:rsidRPr="00942B99" w:rsidRDefault="00E26A8F"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El cálculo del gasto de la cuenta de adquisición de bienes y servicios se fundamenta principalmente en el manejo histórico de la cuenta por parte de la JEP, y un incremento del 3%, definido por el MHCP y la inclusión de unos gastos no recurrentes que requiere la JEP para su operación en 2021.</w:t>
      </w:r>
    </w:p>
    <w:p w14:paraId="14B980FC" w14:textId="77777777" w:rsidR="00E26A8F" w:rsidRPr="00942B99" w:rsidRDefault="00E26A8F" w:rsidP="00DB3190">
      <w:pPr>
        <w:pStyle w:val="textocorrido"/>
        <w:spacing w:before="0"/>
        <w:jc w:val="both"/>
        <w:rPr>
          <w:rFonts w:ascii="Palatino Linotype" w:hAnsi="Palatino Linotype"/>
          <w:color w:val="auto"/>
          <w:sz w:val="24"/>
          <w:lang w:val="es-CO"/>
        </w:rPr>
      </w:pPr>
    </w:p>
    <w:p w14:paraId="5CF5D8F0" w14:textId="28E94D99" w:rsidR="00D418FE" w:rsidRPr="00942B99" w:rsidRDefault="00D418FE" w:rsidP="00DB3190">
      <w:pPr>
        <w:pStyle w:val="textocorrido"/>
        <w:spacing w:before="0"/>
        <w:jc w:val="both"/>
        <w:rPr>
          <w:rFonts w:ascii="Palatino Linotype" w:hAnsi="Palatino Linotype"/>
          <w:color w:val="auto"/>
          <w:sz w:val="24"/>
          <w:lang w:val="es-CO"/>
        </w:rPr>
      </w:pPr>
      <w:r w:rsidRPr="00942B99">
        <w:rPr>
          <w:rFonts w:ascii="Palatino Linotype" w:hAnsi="Palatino Linotype"/>
          <w:color w:val="auto"/>
          <w:sz w:val="24"/>
          <w:lang w:val="es-CO"/>
        </w:rPr>
        <w:t xml:space="preserve">El 66,13% del presupuesto requerido para adquisición de bienes y servicios en 2021 corresponde a </w:t>
      </w:r>
      <w:r w:rsidR="00C97FD2" w:rsidRPr="00942B99">
        <w:rPr>
          <w:rFonts w:ascii="Palatino Linotype" w:hAnsi="Palatino Linotype"/>
          <w:color w:val="auto"/>
          <w:sz w:val="24"/>
          <w:lang w:val="es-CO"/>
        </w:rPr>
        <w:t xml:space="preserve">arrendamientos de la Sede principal, la Sede de respaldo </w:t>
      </w:r>
      <w:r w:rsidR="00701E7A" w:rsidRPr="00942B99">
        <w:rPr>
          <w:rFonts w:ascii="Palatino Linotype" w:hAnsi="Palatino Linotype"/>
          <w:color w:val="auto"/>
          <w:sz w:val="24"/>
          <w:lang w:val="es-CO"/>
        </w:rPr>
        <w:t>-</w:t>
      </w:r>
      <w:r w:rsidR="00C97FD2" w:rsidRPr="00942B99">
        <w:rPr>
          <w:rFonts w:ascii="Palatino Linotype" w:hAnsi="Palatino Linotype"/>
          <w:color w:val="auto"/>
          <w:sz w:val="24"/>
          <w:lang w:val="es-CO"/>
        </w:rPr>
        <w:t xml:space="preserve"> Uni</w:t>
      </w:r>
      <w:r w:rsidR="003627DA" w:rsidRPr="00942B99">
        <w:rPr>
          <w:rFonts w:ascii="Palatino Linotype" w:hAnsi="Palatino Linotype"/>
          <w:color w:val="auto"/>
          <w:sz w:val="24"/>
          <w:lang w:val="es-CO"/>
        </w:rPr>
        <w:t>ón Europea, 13,59% será destinado para el suministro de tiquetes y pago de viáticos</w:t>
      </w:r>
      <w:r w:rsidR="009206DB" w:rsidRPr="00942B99">
        <w:rPr>
          <w:rFonts w:ascii="Palatino Linotype" w:hAnsi="Palatino Linotype"/>
          <w:color w:val="auto"/>
          <w:sz w:val="24"/>
          <w:lang w:val="es-CO"/>
        </w:rPr>
        <w:t xml:space="preserve"> de funcionarios</w:t>
      </w:r>
      <w:r w:rsidR="00296C78" w:rsidRPr="00942B99">
        <w:rPr>
          <w:rFonts w:ascii="Palatino Linotype" w:hAnsi="Palatino Linotype"/>
          <w:color w:val="auto"/>
          <w:sz w:val="24"/>
          <w:lang w:val="es-CO"/>
        </w:rPr>
        <w:t>, pues lo correspondiente a contratistas se financia vía los respectivos proyectos de inversión</w:t>
      </w:r>
      <w:r w:rsidR="00C72B1D" w:rsidRPr="00942B99">
        <w:rPr>
          <w:rFonts w:ascii="Palatino Linotype" w:hAnsi="Palatino Linotype"/>
          <w:color w:val="auto"/>
          <w:sz w:val="24"/>
          <w:lang w:val="es-CO"/>
        </w:rPr>
        <w:t xml:space="preserve"> que los </w:t>
      </w:r>
      <w:r w:rsidR="00E3757D" w:rsidRPr="00942B99">
        <w:rPr>
          <w:rFonts w:ascii="Palatino Linotype" w:hAnsi="Palatino Linotype"/>
          <w:color w:val="auto"/>
          <w:sz w:val="24"/>
          <w:lang w:val="es-CO"/>
        </w:rPr>
        <w:t>-</w:t>
      </w:r>
      <w:r w:rsidR="00C72B1D" w:rsidRPr="00942B99">
        <w:rPr>
          <w:rFonts w:ascii="Palatino Linotype" w:hAnsi="Palatino Linotype"/>
          <w:color w:val="auto"/>
          <w:sz w:val="24"/>
          <w:lang w:val="es-CO"/>
        </w:rPr>
        <w:t>soportan, y un 6,05% corresponde al servicio de seguridad y vigilancia</w:t>
      </w:r>
      <w:r w:rsidR="0063352D" w:rsidRPr="00942B99">
        <w:rPr>
          <w:rFonts w:ascii="Palatino Linotype" w:hAnsi="Palatino Linotype"/>
          <w:color w:val="auto"/>
          <w:sz w:val="24"/>
          <w:lang w:val="es-CO"/>
        </w:rPr>
        <w:t xml:space="preserve"> (Ver Tabla </w:t>
      </w:r>
      <w:r w:rsidR="008E06D6">
        <w:rPr>
          <w:rFonts w:ascii="Palatino Linotype" w:hAnsi="Palatino Linotype"/>
          <w:color w:val="auto"/>
          <w:sz w:val="24"/>
          <w:lang w:val="es-CO"/>
        </w:rPr>
        <w:t>4</w:t>
      </w:r>
      <w:r w:rsidR="0028452C" w:rsidRPr="00942B99">
        <w:rPr>
          <w:rFonts w:ascii="Palatino Linotype" w:hAnsi="Palatino Linotype"/>
          <w:color w:val="auto"/>
          <w:sz w:val="24"/>
          <w:lang w:val="es-CO"/>
        </w:rPr>
        <w:t>)</w:t>
      </w:r>
      <w:r w:rsidR="00C72B1D" w:rsidRPr="00942B99">
        <w:rPr>
          <w:rFonts w:ascii="Palatino Linotype" w:hAnsi="Palatino Linotype"/>
          <w:color w:val="auto"/>
          <w:sz w:val="24"/>
          <w:lang w:val="es-CO"/>
        </w:rPr>
        <w:t>.</w:t>
      </w:r>
      <w:r w:rsidR="000737DA">
        <w:rPr>
          <w:rFonts w:ascii="Palatino Linotype" w:hAnsi="Palatino Linotype"/>
          <w:color w:val="auto"/>
          <w:sz w:val="24"/>
          <w:lang w:val="es-CO"/>
        </w:rPr>
        <w:t xml:space="preserve"> </w:t>
      </w:r>
    </w:p>
    <w:p w14:paraId="30C3A74C" w14:textId="77777777" w:rsidR="00D418FE" w:rsidRPr="00942B99" w:rsidRDefault="00D418FE" w:rsidP="00DB3190">
      <w:pPr>
        <w:pStyle w:val="textocorrido"/>
        <w:spacing w:before="0"/>
        <w:jc w:val="both"/>
        <w:rPr>
          <w:rFonts w:ascii="Palatino Linotype" w:hAnsi="Palatino Linotype"/>
          <w:color w:val="auto"/>
          <w:sz w:val="24"/>
          <w:lang w:val="es-CO" w:eastAsia="es-ES_tradnl"/>
        </w:rPr>
      </w:pPr>
    </w:p>
    <w:p w14:paraId="0FFBD03C" w14:textId="4CFE836F" w:rsidR="003C3824" w:rsidRPr="00942B99" w:rsidRDefault="003C3824" w:rsidP="00DB3190">
      <w:pPr>
        <w:pStyle w:val="textocorrido"/>
        <w:spacing w:before="0"/>
        <w:jc w:val="both"/>
        <w:rPr>
          <w:rFonts w:ascii="Palatino Linotype" w:hAnsi="Palatino Linotype"/>
          <w:color w:val="auto"/>
          <w:sz w:val="24"/>
          <w:lang w:val="es-CO" w:eastAsia="es-ES_tradnl"/>
        </w:rPr>
      </w:pPr>
      <w:r w:rsidRPr="00942B99">
        <w:rPr>
          <w:rFonts w:ascii="Palatino Linotype" w:hAnsi="Palatino Linotype"/>
          <w:color w:val="auto"/>
          <w:sz w:val="24"/>
          <w:lang w:val="es-CO" w:eastAsia="es-ES_tradnl"/>
        </w:rPr>
        <w:lastRenderedPageBreak/>
        <w:t xml:space="preserve">Durante la vigencia 2021, se continuará con el arrendamiento de los espacios físicos en el Edificio Torre Squadra, así como en sedes </w:t>
      </w:r>
      <w:r w:rsidR="00715597" w:rsidRPr="00942B99">
        <w:rPr>
          <w:rFonts w:ascii="Palatino Linotype" w:hAnsi="Palatino Linotype"/>
          <w:color w:val="auto"/>
          <w:sz w:val="24"/>
          <w:lang w:val="es-CO" w:eastAsia="es-ES_tradnl"/>
        </w:rPr>
        <w:t>soportes</w:t>
      </w:r>
      <w:r w:rsidRPr="00942B99">
        <w:rPr>
          <w:rFonts w:ascii="Palatino Linotype" w:hAnsi="Palatino Linotype"/>
          <w:color w:val="auto"/>
          <w:sz w:val="24"/>
          <w:lang w:val="es-CO" w:eastAsia="es-ES_tradnl"/>
        </w:rPr>
        <w:t xml:space="preserve"> en la ciudad de Bogotá, en las cuales se asegurará la prestación de los servicios públicos y servicios complementarios como aseo, cafetería, seguridad y vigilancia para el adecuado funcionamiento de la Entidad. Así mismo se adelantarán procesos para realizar el mantenimiento correctivo y preventivo en las instalaciones físicas, para lo cual es necesario contar con los suministros de ferretería y el personal idóneo para ejecutar estas actividades previendo las medidas de seguridad requeridas para este fin ante la ARL.</w:t>
      </w:r>
    </w:p>
    <w:p w14:paraId="41663DD8" w14:textId="77777777" w:rsidR="00E64401" w:rsidRDefault="00E64401" w:rsidP="00DB3190">
      <w:pPr>
        <w:pStyle w:val="textocorrido"/>
        <w:spacing w:before="0"/>
        <w:jc w:val="both"/>
        <w:rPr>
          <w:rFonts w:ascii="Palatino Linotype" w:hAnsi="Palatino Linotype"/>
          <w:color w:val="auto"/>
          <w:sz w:val="24"/>
          <w:lang w:val="es-CO" w:eastAsia="es-ES_tradnl"/>
        </w:rPr>
      </w:pPr>
    </w:p>
    <w:p w14:paraId="6C8D1913" w14:textId="1DD02E61" w:rsidR="000F085C" w:rsidRDefault="00E64401" w:rsidP="00DB3190">
      <w:pPr>
        <w:pStyle w:val="textocorrido"/>
        <w:spacing w:before="0"/>
        <w:jc w:val="both"/>
        <w:rPr>
          <w:rFonts w:ascii="Palatino Linotype" w:hAnsi="Palatino Linotype"/>
          <w:color w:val="auto"/>
          <w:sz w:val="24"/>
          <w:lang w:val="es-CO" w:eastAsia="es-ES_tradnl"/>
        </w:rPr>
      </w:pPr>
      <w:r>
        <w:rPr>
          <w:rFonts w:ascii="Palatino Linotype" w:hAnsi="Palatino Linotype"/>
          <w:color w:val="auto"/>
          <w:sz w:val="24"/>
          <w:lang w:val="es-CO" w:eastAsia="es-ES_tradnl"/>
        </w:rPr>
        <w:t>E</w:t>
      </w:r>
      <w:r w:rsidR="000F085C" w:rsidRPr="000F085C">
        <w:rPr>
          <w:rFonts w:ascii="Palatino Linotype" w:hAnsi="Palatino Linotype"/>
          <w:color w:val="auto"/>
          <w:sz w:val="24"/>
          <w:lang w:val="es-CO" w:eastAsia="es-ES_tradnl"/>
        </w:rPr>
        <w:t xml:space="preserve">l proceso de </w:t>
      </w:r>
      <w:r>
        <w:rPr>
          <w:rFonts w:ascii="Palatino Linotype" w:hAnsi="Palatino Linotype"/>
          <w:color w:val="auto"/>
          <w:sz w:val="24"/>
          <w:lang w:val="es-CO" w:eastAsia="es-ES_tradnl"/>
        </w:rPr>
        <w:t xml:space="preserve">la JEP de </w:t>
      </w:r>
      <w:r w:rsidR="000F085C" w:rsidRPr="000F085C">
        <w:rPr>
          <w:rFonts w:ascii="Palatino Linotype" w:hAnsi="Palatino Linotype"/>
          <w:color w:val="auto"/>
          <w:sz w:val="24"/>
          <w:lang w:val="es-CO" w:eastAsia="es-ES_tradnl"/>
        </w:rPr>
        <w:t xml:space="preserve">seguridad y salud en el trabajo evidenció la necesidad de adquirir elementos que contribuyan a la adecuada aplicación del Grupo de Apoyo Técnico Forense de la JEP, al igual que la adquisición de elementos que contribuyan a disminuir el riesgo y los peligros que se evidencian en la </w:t>
      </w:r>
      <w:r>
        <w:rPr>
          <w:rFonts w:ascii="Palatino Linotype" w:hAnsi="Palatino Linotype"/>
          <w:color w:val="auto"/>
          <w:sz w:val="24"/>
          <w:lang w:val="es-CO" w:eastAsia="es-ES_tradnl"/>
        </w:rPr>
        <w:t>Jurisdicción</w:t>
      </w:r>
      <w:r w:rsidR="000F085C" w:rsidRPr="000F085C">
        <w:rPr>
          <w:rFonts w:ascii="Palatino Linotype" w:hAnsi="Palatino Linotype"/>
          <w:color w:val="auto"/>
          <w:sz w:val="24"/>
          <w:lang w:val="es-CO" w:eastAsia="es-ES_tradnl"/>
        </w:rPr>
        <w:t xml:space="preserve">. La contratación se hace imperiosa en virtud del crecimiento de carga misional en concordancia con la reciente creación de los grupos territoriales de la Jurisdicción, y posteriormente para la adecuada aplicación del grupo de apoyo técnico forense que </w:t>
      </w:r>
      <w:r w:rsidRPr="000F085C">
        <w:rPr>
          <w:rFonts w:ascii="Palatino Linotype" w:hAnsi="Palatino Linotype"/>
          <w:color w:val="auto"/>
          <w:sz w:val="24"/>
          <w:lang w:val="es-CO" w:eastAsia="es-ES_tradnl"/>
        </w:rPr>
        <w:t>contribuye</w:t>
      </w:r>
      <w:r w:rsidR="000F085C" w:rsidRPr="000F085C">
        <w:rPr>
          <w:rFonts w:ascii="Palatino Linotype" w:hAnsi="Palatino Linotype"/>
          <w:color w:val="auto"/>
          <w:sz w:val="24"/>
          <w:lang w:val="es-CO" w:eastAsia="es-ES_tradnl"/>
        </w:rPr>
        <w:t xml:space="preserve"> al objetivo misional de la entidad. </w:t>
      </w:r>
    </w:p>
    <w:p w14:paraId="2EB946CD" w14:textId="77777777" w:rsidR="00E64401" w:rsidRPr="000F085C" w:rsidRDefault="00E64401" w:rsidP="00DB3190">
      <w:pPr>
        <w:pStyle w:val="textocorrido"/>
        <w:spacing w:before="0"/>
        <w:jc w:val="both"/>
        <w:rPr>
          <w:rFonts w:ascii="Palatino Linotype" w:hAnsi="Palatino Linotype"/>
          <w:color w:val="auto"/>
          <w:sz w:val="24"/>
          <w:lang w:val="es-CO" w:eastAsia="es-ES_tradnl"/>
        </w:rPr>
      </w:pPr>
    </w:p>
    <w:p w14:paraId="7C07EEA1" w14:textId="58F9E561" w:rsidR="000F085C" w:rsidRPr="000F085C" w:rsidRDefault="000F085C" w:rsidP="00DB3190">
      <w:pPr>
        <w:pStyle w:val="textocorrido"/>
        <w:spacing w:before="0"/>
        <w:jc w:val="both"/>
        <w:rPr>
          <w:rFonts w:ascii="Palatino Linotype" w:hAnsi="Palatino Linotype"/>
          <w:color w:val="auto"/>
          <w:sz w:val="24"/>
          <w:lang w:val="es-CO" w:eastAsia="es-ES_tradnl"/>
        </w:rPr>
      </w:pPr>
      <w:r w:rsidRPr="000F085C">
        <w:rPr>
          <w:rFonts w:ascii="Palatino Linotype" w:hAnsi="Palatino Linotype"/>
          <w:color w:val="auto"/>
          <w:sz w:val="24"/>
          <w:lang w:val="es-CO" w:eastAsia="es-ES_tradnl"/>
        </w:rPr>
        <w:t>Así mismo, el proceso evidencia la necesidad de continuar con las evaluaciones médicas ocupacionales ya que constituyen un instrumento importante en la elaboración de los diagnósticos de las condiciones de salud de los trabajadores para el diseño de programas de prevención de enfermedades laborales</w:t>
      </w:r>
      <w:r w:rsidR="00E64401">
        <w:rPr>
          <w:rFonts w:ascii="Palatino Linotype" w:hAnsi="Palatino Linotype"/>
          <w:color w:val="auto"/>
          <w:sz w:val="24"/>
          <w:lang w:val="es-CO" w:eastAsia="es-ES_tradnl"/>
        </w:rPr>
        <w:t>.</w:t>
      </w:r>
    </w:p>
    <w:p w14:paraId="5833DEDF" w14:textId="77777777" w:rsidR="00E64401" w:rsidRDefault="00E64401" w:rsidP="00DB3190">
      <w:pPr>
        <w:pStyle w:val="textocorrido"/>
        <w:spacing w:before="0"/>
        <w:jc w:val="both"/>
        <w:rPr>
          <w:rFonts w:ascii="Palatino Linotype" w:hAnsi="Palatino Linotype"/>
          <w:color w:val="auto"/>
          <w:sz w:val="24"/>
          <w:lang w:val="es-CO" w:eastAsia="es-ES_tradnl"/>
        </w:rPr>
      </w:pPr>
    </w:p>
    <w:p w14:paraId="575A7E1D" w14:textId="0D634C43" w:rsidR="000F085C" w:rsidRDefault="00E64401" w:rsidP="00DB3190">
      <w:pPr>
        <w:pStyle w:val="textocorrido"/>
        <w:spacing w:before="0"/>
        <w:jc w:val="both"/>
        <w:rPr>
          <w:rFonts w:ascii="Palatino Linotype" w:hAnsi="Palatino Linotype"/>
          <w:color w:val="auto"/>
          <w:sz w:val="24"/>
          <w:lang w:val="es-CO" w:eastAsia="es-ES_tradnl"/>
        </w:rPr>
      </w:pPr>
      <w:r>
        <w:rPr>
          <w:rFonts w:ascii="Palatino Linotype" w:hAnsi="Palatino Linotype"/>
          <w:color w:val="auto"/>
          <w:sz w:val="24"/>
          <w:lang w:val="es-CO" w:eastAsia="es-ES_tradnl"/>
        </w:rPr>
        <w:t xml:space="preserve">El proceso también considera que los servidores </w:t>
      </w:r>
      <w:r w:rsidR="000F085C" w:rsidRPr="000F085C">
        <w:rPr>
          <w:rFonts w:ascii="Palatino Linotype" w:hAnsi="Palatino Linotype"/>
          <w:color w:val="auto"/>
          <w:sz w:val="24"/>
          <w:lang w:val="es-CO" w:eastAsia="es-ES_tradnl"/>
        </w:rPr>
        <w:t>de la entidad desarrollan actividades que podrían exponerlos a riesgos ocupacionales, por lo cual se requiere desarrollar el respectivo proceso contractual que soporte el plan presentado para el Sistema de Gestión de Seguridad y Salud en el Trabajo SG-SST de la JEP, en donde se mencionan escenarios de factores de riesgo y peligros, evaluación y control de los mismos que evidencian la necesidad de realizar actividades que contribuyan a la mitigación de lo anterior.</w:t>
      </w:r>
    </w:p>
    <w:p w14:paraId="05E1A850" w14:textId="77777777" w:rsidR="00E64401" w:rsidRPr="000F085C" w:rsidRDefault="00E64401" w:rsidP="00DB3190">
      <w:pPr>
        <w:pStyle w:val="textocorrido"/>
        <w:spacing w:before="0"/>
        <w:jc w:val="both"/>
        <w:rPr>
          <w:rFonts w:ascii="Palatino Linotype" w:hAnsi="Palatino Linotype"/>
          <w:color w:val="auto"/>
          <w:sz w:val="24"/>
          <w:lang w:val="es-CO" w:eastAsia="es-ES_tradnl"/>
        </w:rPr>
      </w:pPr>
    </w:p>
    <w:p w14:paraId="4A704971" w14:textId="2B74430F" w:rsidR="003C3824" w:rsidRPr="00942B99" w:rsidRDefault="003C3824" w:rsidP="00DB3190">
      <w:pPr>
        <w:pStyle w:val="textocorrido"/>
        <w:spacing w:before="0"/>
        <w:jc w:val="both"/>
        <w:rPr>
          <w:rFonts w:ascii="Palatino Linotype" w:hAnsi="Palatino Linotype"/>
          <w:color w:val="auto"/>
          <w:sz w:val="24"/>
          <w:lang w:val="es-CO" w:eastAsia="es-ES_tradnl"/>
        </w:rPr>
      </w:pPr>
      <w:r w:rsidRPr="00E64401">
        <w:rPr>
          <w:rFonts w:ascii="Palatino Linotype" w:hAnsi="Palatino Linotype"/>
          <w:color w:val="auto"/>
          <w:sz w:val="24"/>
          <w:lang w:val="es-CO" w:eastAsia="es-ES_tradnl"/>
        </w:rPr>
        <w:t>Por otro lado, se continuará con la implementación de medidas de seguridad para controlar el ingreso a las instalaciones físicas de la JEP, si</w:t>
      </w:r>
      <w:r w:rsidR="00E64401" w:rsidRPr="00E64401">
        <w:rPr>
          <w:rFonts w:ascii="Palatino Linotype" w:hAnsi="Palatino Linotype"/>
          <w:color w:val="auto"/>
          <w:sz w:val="24"/>
          <w:lang w:val="es-CO" w:eastAsia="es-ES_tradnl"/>
        </w:rPr>
        <w:t xml:space="preserve">endo necesario para ello, tener </w:t>
      </w:r>
      <w:r w:rsidRPr="00E64401">
        <w:rPr>
          <w:rFonts w:ascii="Palatino Linotype" w:hAnsi="Palatino Linotype"/>
          <w:color w:val="auto"/>
          <w:sz w:val="24"/>
          <w:lang w:val="es-CO" w:eastAsia="es-ES_tradnl"/>
        </w:rPr>
        <w:t>disponible los elementos requeridos para la carnetización de personal.</w:t>
      </w:r>
    </w:p>
    <w:p w14:paraId="00A93669" w14:textId="77777777" w:rsidR="003C3824" w:rsidRPr="00942B99" w:rsidRDefault="003C3824" w:rsidP="00DB3190">
      <w:pPr>
        <w:pStyle w:val="textocorrido"/>
        <w:spacing w:before="0"/>
        <w:jc w:val="both"/>
        <w:rPr>
          <w:rFonts w:ascii="Palatino Linotype" w:hAnsi="Palatino Linotype"/>
          <w:color w:val="auto"/>
          <w:sz w:val="24"/>
          <w:lang w:val="es-CO" w:eastAsia="es-ES_tradnl"/>
        </w:rPr>
      </w:pPr>
    </w:p>
    <w:p w14:paraId="50BE3E01" w14:textId="1952A766" w:rsidR="003C3824" w:rsidRPr="00942B99" w:rsidRDefault="003C3824" w:rsidP="00DB3190">
      <w:pPr>
        <w:pStyle w:val="textocorrido"/>
        <w:spacing w:before="0"/>
        <w:jc w:val="both"/>
        <w:rPr>
          <w:rFonts w:ascii="Palatino Linotype" w:hAnsi="Palatino Linotype"/>
          <w:color w:val="auto"/>
          <w:sz w:val="24"/>
          <w:lang w:val="es-CO" w:eastAsia="es-ES_tradnl"/>
        </w:rPr>
      </w:pPr>
      <w:r w:rsidRPr="00942B99">
        <w:rPr>
          <w:rFonts w:ascii="Palatino Linotype" w:hAnsi="Palatino Linotype"/>
          <w:color w:val="auto"/>
          <w:sz w:val="24"/>
          <w:lang w:val="es-CO" w:eastAsia="es-ES_tradnl"/>
        </w:rPr>
        <w:t>En cuanto a labores administrativas se tramitarán las comisiones y autorizaciones de desplazamiento, las cuales son necesarias para brindar el servicio de asistencia técnica para la atención a víctimas y comparecientes en territorio, por lo que se pondrá a disposición la compra de tiquetes aéreos para los trayectos que superen los 200 Kilómetros, viáticos,</w:t>
      </w:r>
      <w:r w:rsidR="000737DA">
        <w:rPr>
          <w:rFonts w:ascii="Palatino Linotype" w:hAnsi="Palatino Linotype"/>
          <w:color w:val="auto"/>
          <w:sz w:val="24"/>
          <w:lang w:val="es-CO" w:eastAsia="es-ES_tradnl"/>
        </w:rPr>
        <w:t xml:space="preserve"> </w:t>
      </w:r>
      <w:r w:rsidRPr="00942B99">
        <w:rPr>
          <w:rFonts w:ascii="Palatino Linotype" w:hAnsi="Palatino Linotype"/>
          <w:color w:val="auto"/>
          <w:sz w:val="24"/>
          <w:lang w:val="es-CO" w:eastAsia="es-ES_tradnl"/>
        </w:rPr>
        <w:t xml:space="preserve">gastos de desplazamiento y de transporte requeridos para continuar con el desempeño de las labores de enlace territorial, apoyo psicosocial, investigación y otras actividades necesarias para el cumplimiento de la misionalidad de la </w:t>
      </w:r>
      <w:r w:rsidR="00942B99">
        <w:rPr>
          <w:rFonts w:ascii="Palatino Linotype" w:hAnsi="Palatino Linotype"/>
          <w:color w:val="auto"/>
          <w:sz w:val="24"/>
          <w:lang w:val="es-CO" w:eastAsia="es-ES_tradnl"/>
        </w:rPr>
        <w:t>e</w:t>
      </w:r>
      <w:r w:rsidRPr="00942B99">
        <w:rPr>
          <w:rFonts w:ascii="Palatino Linotype" w:hAnsi="Palatino Linotype"/>
          <w:color w:val="auto"/>
          <w:sz w:val="24"/>
          <w:lang w:val="es-CO" w:eastAsia="es-ES_tradnl"/>
        </w:rPr>
        <w:t>ntidad. Así mismo se alquilarán vehículos para atender necesidades indispensables, propias del cumplimiento de las funciones de la JEP, que impliquen desplazamientos dentro y fuera del perímetro urbano.</w:t>
      </w:r>
    </w:p>
    <w:p w14:paraId="2D5D90EB" w14:textId="09E5B0AE" w:rsidR="003C3824" w:rsidRPr="00942B99" w:rsidRDefault="003C3824" w:rsidP="00DB3190">
      <w:pPr>
        <w:pStyle w:val="textocorrido"/>
        <w:spacing w:before="0"/>
        <w:jc w:val="both"/>
        <w:rPr>
          <w:rFonts w:ascii="Palatino Linotype" w:hAnsi="Palatino Linotype"/>
          <w:color w:val="auto"/>
          <w:sz w:val="24"/>
          <w:lang w:val="es-CO" w:eastAsia="es-ES_tradnl"/>
        </w:rPr>
      </w:pPr>
      <w:r w:rsidRPr="00942B99">
        <w:rPr>
          <w:rFonts w:ascii="Palatino Linotype" w:hAnsi="Palatino Linotype"/>
          <w:color w:val="auto"/>
          <w:sz w:val="24"/>
          <w:lang w:val="es-CO" w:eastAsia="es-ES_tradnl"/>
        </w:rPr>
        <w:lastRenderedPageBreak/>
        <w:t xml:space="preserve">Se constituirá la caja menor para atender de forma oportuna y eficiente erogaciones o gastos anuales, que tengan el carácter de situaciones imprevistas, urgentes, imprescindibles o inaplazables necesarios para el funcionamiento de la </w:t>
      </w:r>
      <w:r w:rsidR="00942B99">
        <w:rPr>
          <w:rFonts w:ascii="Palatino Linotype" w:hAnsi="Palatino Linotype"/>
          <w:color w:val="auto"/>
          <w:sz w:val="24"/>
          <w:lang w:val="es-CO" w:eastAsia="es-ES_tradnl"/>
        </w:rPr>
        <w:t>e</w:t>
      </w:r>
      <w:r w:rsidRPr="00942B99">
        <w:rPr>
          <w:rFonts w:ascii="Palatino Linotype" w:hAnsi="Palatino Linotype"/>
          <w:color w:val="auto"/>
          <w:sz w:val="24"/>
          <w:lang w:val="es-CO" w:eastAsia="es-ES_tradnl"/>
        </w:rPr>
        <w:t>ntidad, que por su urgencia y cuantía no pueden ser solucionadas por los procesos normales de contratación.</w:t>
      </w:r>
    </w:p>
    <w:p w14:paraId="682B0441" w14:textId="77777777" w:rsidR="003C3824" w:rsidRPr="00942B99" w:rsidRDefault="003C3824" w:rsidP="00DB3190">
      <w:pPr>
        <w:pStyle w:val="textocorrido"/>
        <w:spacing w:before="0"/>
        <w:jc w:val="both"/>
        <w:rPr>
          <w:rFonts w:ascii="Palatino Linotype" w:hAnsi="Palatino Linotype"/>
          <w:color w:val="auto"/>
          <w:sz w:val="24"/>
          <w:lang w:val="es-CO" w:eastAsia="es-ES_tradnl"/>
        </w:rPr>
      </w:pPr>
    </w:p>
    <w:p w14:paraId="356BC9C6" w14:textId="0832F7EF" w:rsidR="003C3824" w:rsidRPr="00942B99" w:rsidRDefault="003C3824" w:rsidP="00DB3190">
      <w:pPr>
        <w:pStyle w:val="textocorrido"/>
        <w:spacing w:before="0"/>
        <w:jc w:val="both"/>
        <w:rPr>
          <w:rFonts w:ascii="Palatino Linotype" w:hAnsi="Palatino Linotype"/>
          <w:color w:val="auto"/>
          <w:sz w:val="24"/>
          <w:lang w:val="es-CO" w:eastAsia="es-ES_tradnl"/>
        </w:rPr>
      </w:pPr>
      <w:r w:rsidRPr="00942B99">
        <w:rPr>
          <w:rFonts w:ascii="Palatino Linotype" w:hAnsi="Palatino Linotype"/>
          <w:color w:val="auto"/>
          <w:sz w:val="24"/>
          <w:lang w:val="es-CO" w:eastAsia="es-ES_tradnl"/>
        </w:rPr>
        <w:t xml:space="preserve">Adicionalmente se continuará con la asignación de bienes e insumos, lo cual incluye contar con el personal idóneo para realizar el control de inventarios, además de mantener abastecido el almacén con los elementos de papelería y oficina requeridos por las diferentes dependencias para el adecuado desarrollo de sus funciones. </w:t>
      </w:r>
      <w:r w:rsidR="007604D9" w:rsidRPr="00942B99">
        <w:rPr>
          <w:rFonts w:ascii="Palatino Linotype" w:hAnsi="Palatino Linotype"/>
          <w:color w:val="auto"/>
          <w:sz w:val="24"/>
          <w:lang w:val="es-CO" w:eastAsia="es-ES_tradnl"/>
        </w:rPr>
        <w:t>Así mismo</w:t>
      </w:r>
      <w:r w:rsidRPr="00942B99">
        <w:rPr>
          <w:rFonts w:ascii="Palatino Linotype" w:hAnsi="Palatino Linotype"/>
          <w:color w:val="auto"/>
          <w:sz w:val="24"/>
          <w:lang w:val="es-CO" w:eastAsia="es-ES_tradnl"/>
        </w:rPr>
        <w:t xml:space="preserve">, es importante mencionar la continuidad del seguro todo riesgo mediante el cual se salvaguardan los activos de la </w:t>
      </w:r>
      <w:r w:rsidR="00942B99">
        <w:rPr>
          <w:rFonts w:ascii="Palatino Linotype" w:hAnsi="Palatino Linotype"/>
          <w:color w:val="auto"/>
          <w:sz w:val="24"/>
          <w:lang w:val="es-CO" w:eastAsia="es-ES_tradnl"/>
        </w:rPr>
        <w:t>e</w:t>
      </w:r>
      <w:r w:rsidRPr="00942B99">
        <w:rPr>
          <w:rFonts w:ascii="Palatino Linotype" w:hAnsi="Palatino Linotype"/>
          <w:color w:val="auto"/>
          <w:sz w:val="24"/>
          <w:lang w:val="es-CO" w:eastAsia="es-ES_tradnl"/>
        </w:rPr>
        <w:t>ntidad.</w:t>
      </w:r>
    </w:p>
    <w:p w14:paraId="755B21D7" w14:textId="77777777" w:rsidR="003C3824" w:rsidRPr="00E22200" w:rsidRDefault="003C3824" w:rsidP="00DB3190">
      <w:pPr>
        <w:pStyle w:val="textocorrido"/>
        <w:spacing w:before="0"/>
        <w:jc w:val="both"/>
        <w:rPr>
          <w:rFonts w:ascii="Palatino Linotype" w:hAnsi="Palatino Linotype"/>
          <w:szCs w:val="18"/>
          <w:lang w:val="es-CO" w:eastAsia="es-ES_tradnl"/>
        </w:rPr>
      </w:pPr>
    </w:p>
    <w:p w14:paraId="48E58778" w14:textId="3DB861F9" w:rsidR="00777E0A" w:rsidRPr="00BB119A" w:rsidRDefault="00777E0A" w:rsidP="00DB3190">
      <w:pPr>
        <w:pStyle w:val="Descripcin"/>
        <w:spacing w:after="0"/>
        <w:jc w:val="both"/>
        <w:rPr>
          <w:b/>
          <w:color w:val="auto"/>
          <w:sz w:val="22"/>
          <w:szCs w:val="22"/>
          <w:lang w:val="es-CO"/>
        </w:rPr>
      </w:pPr>
      <w:r w:rsidRPr="00701E7A">
        <w:rPr>
          <w:b/>
          <w:color w:val="auto"/>
          <w:sz w:val="22"/>
          <w:szCs w:val="22"/>
          <w:lang w:val="es-CO"/>
        </w:rPr>
        <w:t xml:space="preserve">Tabla </w:t>
      </w:r>
      <w:r w:rsidRPr="00701E7A">
        <w:rPr>
          <w:b/>
          <w:color w:val="auto"/>
          <w:sz w:val="22"/>
          <w:szCs w:val="22"/>
        </w:rPr>
        <w:fldChar w:fldCharType="begin"/>
      </w:r>
      <w:r w:rsidRPr="00701E7A">
        <w:rPr>
          <w:b/>
          <w:color w:val="auto"/>
          <w:sz w:val="22"/>
          <w:szCs w:val="22"/>
          <w:lang w:val="es-CO"/>
        </w:rPr>
        <w:instrText xml:space="preserve"> SEQ Tabla \* ARABIC </w:instrText>
      </w:r>
      <w:r w:rsidRPr="00701E7A">
        <w:rPr>
          <w:b/>
          <w:color w:val="auto"/>
          <w:sz w:val="22"/>
          <w:szCs w:val="22"/>
        </w:rPr>
        <w:fldChar w:fldCharType="separate"/>
      </w:r>
      <w:r w:rsidR="00045F70" w:rsidRPr="00701E7A">
        <w:rPr>
          <w:b/>
          <w:noProof/>
          <w:color w:val="auto"/>
          <w:sz w:val="22"/>
          <w:szCs w:val="22"/>
          <w:lang w:val="es-CO"/>
        </w:rPr>
        <w:t>4</w:t>
      </w:r>
      <w:r w:rsidRPr="00701E7A">
        <w:rPr>
          <w:b/>
          <w:color w:val="auto"/>
          <w:sz w:val="22"/>
          <w:szCs w:val="22"/>
        </w:rPr>
        <w:fldChar w:fldCharType="end"/>
      </w:r>
      <w:r w:rsidRPr="00701E7A">
        <w:rPr>
          <w:b/>
          <w:color w:val="auto"/>
          <w:sz w:val="22"/>
          <w:szCs w:val="22"/>
          <w:lang w:val="es-CO"/>
        </w:rPr>
        <w:t>.</w:t>
      </w:r>
      <w:r w:rsidRPr="00701E7A">
        <w:rPr>
          <w:color w:val="auto"/>
          <w:lang w:val="es-CO"/>
        </w:rPr>
        <w:t xml:space="preserve"> </w:t>
      </w:r>
      <w:r w:rsidRPr="00701E7A">
        <w:rPr>
          <w:b/>
          <w:color w:val="auto"/>
          <w:sz w:val="22"/>
          <w:szCs w:val="22"/>
          <w:lang w:val="es-CO"/>
        </w:rPr>
        <w:t>Presupuesto solicitado para 2021 en cuenta de Adquisición de bienes y servicios</w:t>
      </w:r>
      <w:r w:rsidR="00701E7A">
        <w:rPr>
          <w:b/>
          <w:color w:val="auto"/>
          <w:sz w:val="22"/>
          <w:szCs w:val="22"/>
          <w:lang w:val="es-CO"/>
        </w:rPr>
        <w:t xml:space="preserve"> - </w:t>
      </w:r>
      <w:r w:rsidRPr="00BB119A">
        <w:rPr>
          <w:b/>
          <w:color w:val="auto"/>
          <w:sz w:val="22"/>
          <w:szCs w:val="22"/>
          <w:lang w:val="es-CO"/>
        </w:rPr>
        <w:t>Cifras en pesos corriente</w:t>
      </w:r>
      <w:r>
        <w:rPr>
          <w:b/>
          <w:color w:val="auto"/>
          <w:sz w:val="22"/>
          <w:szCs w:val="22"/>
          <w:lang w:val="es-CO"/>
        </w:rPr>
        <w:t>s</w:t>
      </w:r>
    </w:p>
    <w:tbl>
      <w:tblPr>
        <w:tblW w:w="7691" w:type="dxa"/>
        <w:jc w:val="center"/>
        <w:tblCellMar>
          <w:left w:w="70" w:type="dxa"/>
          <w:right w:w="70" w:type="dxa"/>
        </w:tblCellMar>
        <w:tblLook w:val="04A0" w:firstRow="1" w:lastRow="0" w:firstColumn="1" w:lastColumn="0" w:noHBand="0" w:noVBand="1"/>
      </w:tblPr>
      <w:tblGrid>
        <w:gridCol w:w="3551"/>
        <w:gridCol w:w="2020"/>
        <w:gridCol w:w="2120"/>
      </w:tblGrid>
      <w:tr w:rsidR="00DF5E14" w:rsidRPr="0055721B" w14:paraId="71A3F88E" w14:textId="77777777" w:rsidTr="00997063">
        <w:trPr>
          <w:trHeight w:val="345"/>
          <w:tblHeader/>
          <w:jc w:val="center"/>
        </w:trPr>
        <w:tc>
          <w:tcPr>
            <w:tcW w:w="3551" w:type="dxa"/>
            <w:tcBorders>
              <w:top w:val="single" w:sz="4" w:space="0" w:color="BFBFBF"/>
              <w:left w:val="single" w:sz="4" w:space="0" w:color="BFBFBF"/>
              <w:bottom w:val="single" w:sz="4" w:space="0" w:color="BFBFBF"/>
              <w:right w:val="single" w:sz="4" w:space="0" w:color="BFBFBF"/>
            </w:tcBorders>
            <w:shd w:val="clear" w:color="000000" w:fill="002060"/>
            <w:vAlign w:val="center"/>
            <w:hideMark/>
          </w:tcPr>
          <w:p w14:paraId="464A6755" w14:textId="77777777" w:rsidR="00DF5E14" w:rsidRPr="0055721B" w:rsidRDefault="00DF5E14" w:rsidP="006A1B70">
            <w:pPr>
              <w:jc w:val="center"/>
              <w:rPr>
                <w:rFonts w:eastAsia="Times New Roman" w:cs="Calibri"/>
                <w:b/>
                <w:bCs/>
                <w:color w:val="FFFFFF"/>
                <w:sz w:val="22"/>
                <w:szCs w:val="22"/>
                <w:lang w:val="es-CO" w:eastAsia="es-CO"/>
              </w:rPr>
            </w:pPr>
            <w:r w:rsidRPr="0055721B">
              <w:rPr>
                <w:rFonts w:eastAsia="Times New Roman" w:cs="Calibri"/>
                <w:b/>
                <w:bCs/>
                <w:color w:val="FFFFFF"/>
                <w:sz w:val="22"/>
                <w:szCs w:val="22"/>
                <w:lang w:val="es-CO" w:eastAsia="es-CO"/>
              </w:rPr>
              <w:t>Ítem</w:t>
            </w:r>
          </w:p>
        </w:tc>
        <w:tc>
          <w:tcPr>
            <w:tcW w:w="2020" w:type="dxa"/>
            <w:tcBorders>
              <w:top w:val="single" w:sz="4" w:space="0" w:color="BFBFBF"/>
              <w:left w:val="nil"/>
              <w:bottom w:val="single" w:sz="4" w:space="0" w:color="BFBFBF"/>
              <w:right w:val="single" w:sz="4" w:space="0" w:color="BFBFBF"/>
            </w:tcBorders>
            <w:shd w:val="clear" w:color="000000" w:fill="002060"/>
            <w:vAlign w:val="center"/>
            <w:hideMark/>
          </w:tcPr>
          <w:p w14:paraId="2F6AF7FB" w14:textId="77777777" w:rsidR="00DF5E14" w:rsidRPr="0055721B" w:rsidRDefault="00DF5E14" w:rsidP="006A1B70">
            <w:pPr>
              <w:jc w:val="center"/>
              <w:rPr>
                <w:rFonts w:eastAsia="Times New Roman" w:cs="Calibri"/>
                <w:b/>
                <w:bCs/>
                <w:color w:val="FFFFFF"/>
                <w:sz w:val="22"/>
                <w:szCs w:val="22"/>
                <w:lang w:val="es-CO" w:eastAsia="es-CO"/>
              </w:rPr>
            </w:pPr>
            <w:r w:rsidRPr="0055721B">
              <w:rPr>
                <w:rFonts w:eastAsia="Times New Roman" w:cs="Calibri"/>
                <w:b/>
                <w:bCs/>
                <w:color w:val="FFFFFF"/>
                <w:sz w:val="22"/>
                <w:szCs w:val="22"/>
                <w:lang w:val="es-CO" w:eastAsia="es-CO"/>
              </w:rPr>
              <w:t>Solicitado</w:t>
            </w:r>
          </w:p>
        </w:tc>
        <w:tc>
          <w:tcPr>
            <w:tcW w:w="2120" w:type="dxa"/>
            <w:tcBorders>
              <w:top w:val="single" w:sz="4" w:space="0" w:color="BFBFBF"/>
              <w:left w:val="nil"/>
              <w:bottom w:val="single" w:sz="4" w:space="0" w:color="BFBFBF"/>
              <w:right w:val="single" w:sz="4" w:space="0" w:color="BFBFBF"/>
            </w:tcBorders>
            <w:shd w:val="clear" w:color="000000" w:fill="002060"/>
            <w:vAlign w:val="center"/>
            <w:hideMark/>
          </w:tcPr>
          <w:p w14:paraId="35B81254" w14:textId="77777777" w:rsidR="00DF5E14" w:rsidRPr="0055721B" w:rsidRDefault="00DF5E14" w:rsidP="006A1B70">
            <w:pPr>
              <w:jc w:val="center"/>
              <w:rPr>
                <w:rFonts w:eastAsia="Times New Roman" w:cs="Calibri"/>
                <w:b/>
                <w:bCs/>
                <w:color w:val="FFFFFF"/>
                <w:sz w:val="22"/>
                <w:szCs w:val="22"/>
                <w:lang w:val="es-CO" w:eastAsia="es-CO"/>
              </w:rPr>
            </w:pPr>
            <w:r w:rsidRPr="0055721B">
              <w:rPr>
                <w:rFonts w:eastAsia="Times New Roman" w:cs="Calibri"/>
                <w:b/>
                <w:bCs/>
                <w:color w:val="FFFFFF"/>
                <w:sz w:val="22"/>
                <w:szCs w:val="22"/>
                <w:lang w:val="es-CO" w:eastAsia="es-CO"/>
              </w:rPr>
              <w:t>Participación %</w:t>
            </w:r>
          </w:p>
        </w:tc>
      </w:tr>
      <w:tr w:rsidR="00DF5E14" w:rsidRPr="0055721B" w14:paraId="1F46F2EB"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3A8349D6"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xml:space="preserve">Arriendo sede </w:t>
            </w:r>
          </w:p>
        </w:tc>
        <w:tc>
          <w:tcPr>
            <w:tcW w:w="2020" w:type="dxa"/>
            <w:tcBorders>
              <w:top w:val="nil"/>
              <w:left w:val="nil"/>
              <w:bottom w:val="single" w:sz="4" w:space="0" w:color="BFBFBF"/>
              <w:right w:val="single" w:sz="4" w:space="0" w:color="BFBFBF"/>
            </w:tcBorders>
            <w:shd w:val="clear" w:color="000000" w:fill="FFFFFF"/>
            <w:vAlign w:val="center"/>
            <w:hideMark/>
          </w:tcPr>
          <w:p w14:paraId="59B46019"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$ 19.975.115.486</w:t>
            </w:r>
          </w:p>
        </w:tc>
        <w:tc>
          <w:tcPr>
            <w:tcW w:w="2120" w:type="dxa"/>
            <w:tcBorders>
              <w:top w:val="nil"/>
              <w:left w:val="nil"/>
              <w:bottom w:val="single" w:sz="4" w:space="0" w:color="BFBFBF"/>
              <w:right w:val="single" w:sz="4" w:space="0" w:color="BFBFBF"/>
            </w:tcBorders>
            <w:shd w:val="clear" w:color="auto" w:fill="auto"/>
            <w:noWrap/>
            <w:vAlign w:val="bottom"/>
            <w:hideMark/>
          </w:tcPr>
          <w:p w14:paraId="77D77240"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56,6%</w:t>
            </w:r>
          </w:p>
        </w:tc>
      </w:tr>
      <w:tr w:rsidR="00DF5E14" w:rsidRPr="0055721B" w14:paraId="00CB4506"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FE1E9F9" w14:textId="7766C0DB"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xml:space="preserve">Sede </w:t>
            </w:r>
            <w:r w:rsidR="0055721B">
              <w:rPr>
                <w:rFonts w:eastAsia="Times New Roman" w:cs="Calibri"/>
                <w:color w:val="000000"/>
                <w:sz w:val="22"/>
                <w:szCs w:val="22"/>
                <w:lang w:val="es-CO" w:eastAsia="es-CO"/>
              </w:rPr>
              <w:t>alterna – Proyecto UE</w:t>
            </w:r>
            <w:r w:rsidRPr="0055721B">
              <w:rPr>
                <w:rFonts w:eastAsia="Times New Roman" w:cs="Calibri"/>
                <w:color w:val="000000"/>
                <w:sz w:val="22"/>
                <w:szCs w:val="22"/>
                <w:lang w:val="es-CO" w:eastAsia="es-CO"/>
              </w:rPr>
              <w:t xml:space="preserve"> </w:t>
            </w:r>
          </w:p>
        </w:tc>
        <w:tc>
          <w:tcPr>
            <w:tcW w:w="2020" w:type="dxa"/>
            <w:tcBorders>
              <w:top w:val="nil"/>
              <w:left w:val="nil"/>
              <w:bottom w:val="single" w:sz="4" w:space="0" w:color="BFBFBF"/>
              <w:right w:val="single" w:sz="4" w:space="0" w:color="BFBFBF"/>
            </w:tcBorders>
            <w:shd w:val="clear" w:color="000000" w:fill="FFFFFF"/>
            <w:vAlign w:val="center"/>
            <w:hideMark/>
          </w:tcPr>
          <w:p w14:paraId="18D9F609" w14:textId="38E8B9B1"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xml:space="preserve">$ </w:t>
            </w:r>
            <w:r w:rsidR="0055721B">
              <w:rPr>
                <w:rFonts w:eastAsia="Times New Roman" w:cs="Calibri"/>
                <w:color w:val="000000"/>
                <w:sz w:val="22"/>
                <w:szCs w:val="22"/>
                <w:lang w:val="es-CO" w:eastAsia="es-CO"/>
              </w:rPr>
              <w:t>3.384.211.240</w:t>
            </w:r>
          </w:p>
        </w:tc>
        <w:tc>
          <w:tcPr>
            <w:tcW w:w="2120" w:type="dxa"/>
            <w:tcBorders>
              <w:top w:val="nil"/>
              <w:left w:val="nil"/>
              <w:bottom w:val="single" w:sz="4" w:space="0" w:color="BFBFBF"/>
              <w:right w:val="single" w:sz="4" w:space="0" w:color="BFBFBF"/>
            </w:tcBorders>
            <w:shd w:val="clear" w:color="auto" w:fill="auto"/>
            <w:noWrap/>
            <w:vAlign w:val="bottom"/>
            <w:hideMark/>
          </w:tcPr>
          <w:p w14:paraId="7CC0856B" w14:textId="10ADD300" w:rsidR="00DF5E14" w:rsidRPr="0055721B" w:rsidRDefault="0055721B" w:rsidP="006A1B70">
            <w:pPr>
              <w:jc w:val="center"/>
              <w:rPr>
                <w:rFonts w:eastAsia="Times New Roman" w:cs="Calibri"/>
                <w:color w:val="000000"/>
                <w:sz w:val="22"/>
                <w:szCs w:val="22"/>
                <w:lang w:val="es-CO" w:eastAsia="es-CO"/>
              </w:rPr>
            </w:pPr>
            <w:r>
              <w:rPr>
                <w:rFonts w:eastAsia="Times New Roman" w:cs="Calibri"/>
                <w:color w:val="000000"/>
                <w:sz w:val="22"/>
                <w:szCs w:val="22"/>
                <w:lang w:val="es-CO" w:eastAsia="es-CO"/>
              </w:rPr>
              <w:t>9</w:t>
            </w:r>
            <w:r w:rsidR="00DF5E14" w:rsidRPr="0055721B">
              <w:rPr>
                <w:rFonts w:eastAsia="Times New Roman" w:cs="Calibri"/>
                <w:color w:val="000000"/>
                <w:sz w:val="22"/>
                <w:szCs w:val="22"/>
                <w:lang w:val="es-CO" w:eastAsia="es-CO"/>
              </w:rPr>
              <w:t>,</w:t>
            </w:r>
            <w:r>
              <w:rPr>
                <w:rFonts w:eastAsia="Times New Roman" w:cs="Calibri"/>
                <w:color w:val="000000"/>
                <w:sz w:val="22"/>
                <w:szCs w:val="22"/>
                <w:lang w:val="es-CO" w:eastAsia="es-CO"/>
              </w:rPr>
              <w:t>6</w:t>
            </w:r>
            <w:r w:rsidR="00DF5E14" w:rsidRPr="0055721B">
              <w:rPr>
                <w:rFonts w:eastAsia="Times New Roman" w:cs="Calibri"/>
                <w:color w:val="000000"/>
                <w:sz w:val="22"/>
                <w:szCs w:val="22"/>
                <w:lang w:val="es-CO" w:eastAsia="es-CO"/>
              </w:rPr>
              <w:t>%</w:t>
            </w:r>
          </w:p>
        </w:tc>
      </w:tr>
      <w:tr w:rsidR="00DF5E14" w:rsidRPr="0055721B" w14:paraId="6D3BF313"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1123A111"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Suministro tiquetes</w:t>
            </w:r>
          </w:p>
        </w:tc>
        <w:tc>
          <w:tcPr>
            <w:tcW w:w="2020" w:type="dxa"/>
            <w:tcBorders>
              <w:top w:val="nil"/>
              <w:left w:val="nil"/>
              <w:bottom w:val="single" w:sz="4" w:space="0" w:color="BFBFBF"/>
              <w:right w:val="single" w:sz="4" w:space="0" w:color="BFBFBF"/>
            </w:tcBorders>
            <w:shd w:val="clear" w:color="000000" w:fill="FFFFFF"/>
            <w:vAlign w:val="center"/>
            <w:hideMark/>
          </w:tcPr>
          <w:p w14:paraId="1EE6D143"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$ 2.400.000.000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17F6AC48"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6,8%</w:t>
            </w:r>
          </w:p>
        </w:tc>
      </w:tr>
      <w:tr w:rsidR="00DF5E14" w:rsidRPr="0055721B" w14:paraId="066B4C02"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2FE908D7"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Viáticos</w:t>
            </w:r>
          </w:p>
        </w:tc>
        <w:tc>
          <w:tcPr>
            <w:tcW w:w="2020" w:type="dxa"/>
            <w:tcBorders>
              <w:top w:val="nil"/>
              <w:left w:val="nil"/>
              <w:bottom w:val="single" w:sz="4" w:space="0" w:color="BFBFBF"/>
              <w:right w:val="single" w:sz="4" w:space="0" w:color="BFBFBF"/>
            </w:tcBorders>
            <w:shd w:val="clear" w:color="000000" w:fill="FFFFFF"/>
            <w:vAlign w:val="center"/>
            <w:hideMark/>
          </w:tcPr>
          <w:p w14:paraId="1A04F5C0"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$ 2.400.000.000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4B5491D4"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6,8%</w:t>
            </w:r>
          </w:p>
        </w:tc>
      </w:tr>
      <w:tr w:rsidR="00DF5E14" w:rsidRPr="0055721B" w14:paraId="0794083C"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D4FA1F8"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xml:space="preserve">Seguridad y vigilancia </w:t>
            </w:r>
          </w:p>
        </w:tc>
        <w:tc>
          <w:tcPr>
            <w:tcW w:w="2020" w:type="dxa"/>
            <w:tcBorders>
              <w:top w:val="nil"/>
              <w:left w:val="nil"/>
              <w:bottom w:val="single" w:sz="4" w:space="0" w:color="BFBFBF"/>
              <w:right w:val="single" w:sz="4" w:space="0" w:color="BFBFBF"/>
            </w:tcBorders>
            <w:shd w:val="clear" w:color="000000" w:fill="FFFFFF"/>
            <w:vAlign w:val="center"/>
            <w:hideMark/>
          </w:tcPr>
          <w:p w14:paraId="53059E9B"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$ 2.136.655.773</w:t>
            </w:r>
          </w:p>
        </w:tc>
        <w:tc>
          <w:tcPr>
            <w:tcW w:w="2120" w:type="dxa"/>
            <w:tcBorders>
              <w:top w:val="nil"/>
              <w:left w:val="nil"/>
              <w:bottom w:val="single" w:sz="4" w:space="0" w:color="BFBFBF"/>
              <w:right w:val="single" w:sz="4" w:space="0" w:color="BFBFBF"/>
            </w:tcBorders>
            <w:shd w:val="clear" w:color="auto" w:fill="auto"/>
            <w:noWrap/>
            <w:vAlign w:val="bottom"/>
            <w:hideMark/>
          </w:tcPr>
          <w:p w14:paraId="19A26F49"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6,0%</w:t>
            </w:r>
          </w:p>
        </w:tc>
      </w:tr>
      <w:tr w:rsidR="00DF5E14" w:rsidRPr="0055721B" w14:paraId="14630CC1"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50C8890"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Seguro todo riesgo</w:t>
            </w:r>
          </w:p>
        </w:tc>
        <w:tc>
          <w:tcPr>
            <w:tcW w:w="2020" w:type="dxa"/>
            <w:tcBorders>
              <w:top w:val="nil"/>
              <w:left w:val="nil"/>
              <w:bottom w:val="single" w:sz="4" w:space="0" w:color="BFBFBF"/>
              <w:right w:val="single" w:sz="4" w:space="0" w:color="BFBFBF"/>
            </w:tcBorders>
            <w:shd w:val="clear" w:color="000000" w:fill="FFFFFF"/>
            <w:vAlign w:val="center"/>
            <w:hideMark/>
          </w:tcPr>
          <w:p w14:paraId="5CDFE0F1"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$ 1.500.000.000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13C55538"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4,2%</w:t>
            </w:r>
          </w:p>
        </w:tc>
      </w:tr>
      <w:tr w:rsidR="00DF5E14" w:rsidRPr="0055721B" w14:paraId="2D9DB84C"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36ECFF90"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Aseo y cafetería</w:t>
            </w:r>
          </w:p>
        </w:tc>
        <w:tc>
          <w:tcPr>
            <w:tcW w:w="2020" w:type="dxa"/>
            <w:tcBorders>
              <w:top w:val="nil"/>
              <w:left w:val="nil"/>
              <w:bottom w:val="single" w:sz="4" w:space="0" w:color="BFBFBF"/>
              <w:right w:val="single" w:sz="4" w:space="0" w:color="BFBFBF"/>
            </w:tcBorders>
            <w:shd w:val="clear" w:color="000000" w:fill="FFFFFF"/>
            <w:vAlign w:val="center"/>
            <w:hideMark/>
          </w:tcPr>
          <w:p w14:paraId="3D14FAAC"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$ 1.205.180.570</w:t>
            </w:r>
          </w:p>
        </w:tc>
        <w:tc>
          <w:tcPr>
            <w:tcW w:w="2120" w:type="dxa"/>
            <w:tcBorders>
              <w:top w:val="nil"/>
              <w:left w:val="nil"/>
              <w:bottom w:val="single" w:sz="4" w:space="0" w:color="BFBFBF"/>
              <w:right w:val="single" w:sz="4" w:space="0" w:color="BFBFBF"/>
            </w:tcBorders>
            <w:shd w:val="clear" w:color="auto" w:fill="auto"/>
            <w:noWrap/>
            <w:vAlign w:val="bottom"/>
            <w:hideMark/>
          </w:tcPr>
          <w:p w14:paraId="68E17DA3"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3,4%</w:t>
            </w:r>
          </w:p>
        </w:tc>
      </w:tr>
      <w:tr w:rsidR="00DF5E14" w:rsidRPr="0055721B" w14:paraId="0CFD834A"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3916F9AD"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Servicios públicos</w:t>
            </w:r>
          </w:p>
        </w:tc>
        <w:tc>
          <w:tcPr>
            <w:tcW w:w="2020" w:type="dxa"/>
            <w:tcBorders>
              <w:top w:val="nil"/>
              <w:left w:val="nil"/>
              <w:bottom w:val="single" w:sz="4" w:space="0" w:color="BFBFBF"/>
              <w:right w:val="single" w:sz="4" w:space="0" w:color="BFBFBF"/>
            </w:tcBorders>
            <w:shd w:val="clear" w:color="000000" w:fill="FFFFFF"/>
            <w:vAlign w:val="center"/>
            <w:hideMark/>
          </w:tcPr>
          <w:p w14:paraId="41752A9B"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$ 407.040.000</w:t>
            </w:r>
          </w:p>
        </w:tc>
        <w:tc>
          <w:tcPr>
            <w:tcW w:w="2120" w:type="dxa"/>
            <w:tcBorders>
              <w:top w:val="nil"/>
              <w:left w:val="nil"/>
              <w:bottom w:val="single" w:sz="4" w:space="0" w:color="BFBFBF"/>
              <w:right w:val="single" w:sz="4" w:space="0" w:color="BFBFBF"/>
            </w:tcBorders>
            <w:shd w:val="clear" w:color="auto" w:fill="auto"/>
            <w:noWrap/>
            <w:vAlign w:val="bottom"/>
            <w:hideMark/>
          </w:tcPr>
          <w:p w14:paraId="46F05519"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1,2%</w:t>
            </w:r>
          </w:p>
        </w:tc>
      </w:tr>
      <w:tr w:rsidR="00DF5E14" w:rsidRPr="0055721B" w14:paraId="4761B53C"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4A2743D" w14:textId="543F192F" w:rsidR="00DF5E14" w:rsidRPr="0055721B" w:rsidRDefault="00997063"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Almacén</w:t>
            </w:r>
            <w:r w:rsidR="00DF5E14" w:rsidRPr="0055721B">
              <w:rPr>
                <w:rFonts w:eastAsia="Times New Roman" w:cs="Calibri"/>
                <w:color w:val="000000"/>
                <w:sz w:val="22"/>
                <w:szCs w:val="22"/>
                <w:lang w:val="es-CO" w:eastAsia="es-CO"/>
              </w:rPr>
              <w:t xml:space="preserve"> custodia archivos</w:t>
            </w:r>
          </w:p>
        </w:tc>
        <w:tc>
          <w:tcPr>
            <w:tcW w:w="2020" w:type="dxa"/>
            <w:tcBorders>
              <w:top w:val="nil"/>
              <w:left w:val="nil"/>
              <w:bottom w:val="single" w:sz="4" w:space="0" w:color="BFBFBF"/>
              <w:right w:val="single" w:sz="4" w:space="0" w:color="BFBFBF"/>
            </w:tcBorders>
            <w:shd w:val="clear" w:color="000000" w:fill="FFFFFF"/>
            <w:vAlign w:val="center"/>
            <w:hideMark/>
          </w:tcPr>
          <w:p w14:paraId="17523782"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$ 300.000.000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482826B4"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0,8%</w:t>
            </w:r>
          </w:p>
        </w:tc>
      </w:tr>
      <w:tr w:rsidR="00DF5E14" w:rsidRPr="0055721B" w14:paraId="65884C76"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0A72A394"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Caja de Compensación</w:t>
            </w:r>
          </w:p>
        </w:tc>
        <w:tc>
          <w:tcPr>
            <w:tcW w:w="2020" w:type="dxa"/>
            <w:tcBorders>
              <w:top w:val="nil"/>
              <w:left w:val="nil"/>
              <w:bottom w:val="single" w:sz="4" w:space="0" w:color="BFBFBF"/>
              <w:right w:val="single" w:sz="4" w:space="0" w:color="BFBFBF"/>
            </w:tcBorders>
            <w:shd w:val="clear" w:color="000000" w:fill="FFFFFF"/>
            <w:vAlign w:val="center"/>
            <w:hideMark/>
          </w:tcPr>
          <w:p w14:paraId="6AFA2401"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$ 289.936.711</w:t>
            </w:r>
          </w:p>
        </w:tc>
        <w:tc>
          <w:tcPr>
            <w:tcW w:w="2120" w:type="dxa"/>
            <w:tcBorders>
              <w:top w:val="nil"/>
              <w:left w:val="nil"/>
              <w:bottom w:val="single" w:sz="4" w:space="0" w:color="BFBFBF"/>
              <w:right w:val="single" w:sz="4" w:space="0" w:color="BFBFBF"/>
            </w:tcBorders>
            <w:shd w:val="clear" w:color="auto" w:fill="auto"/>
            <w:noWrap/>
            <w:vAlign w:val="bottom"/>
            <w:hideMark/>
          </w:tcPr>
          <w:p w14:paraId="19441FE5"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0,8%</w:t>
            </w:r>
          </w:p>
        </w:tc>
      </w:tr>
      <w:tr w:rsidR="00DF5E14" w:rsidRPr="0055721B" w14:paraId="548275EB" w14:textId="77777777" w:rsidTr="00997063">
        <w:trPr>
          <w:trHeight w:val="179"/>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38EA3484"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Mensajería</w:t>
            </w:r>
          </w:p>
        </w:tc>
        <w:tc>
          <w:tcPr>
            <w:tcW w:w="2020" w:type="dxa"/>
            <w:tcBorders>
              <w:top w:val="nil"/>
              <w:left w:val="nil"/>
              <w:bottom w:val="single" w:sz="4" w:space="0" w:color="BFBFBF"/>
              <w:right w:val="single" w:sz="4" w:space="0" w:color="BFBFBF"/>
            </w:tcBorders>
            <w:shd w:val="clear" w:color="000000" w:fill="FFFFFF"/>
            <w:vAlign w:val="center"/>
            <w:hideMark/>
          </w:tcPr>
          <w:p w14:paraId="0BED8A24"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$ 230.000.000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32D946EB"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0,7%</w:t>
            </w:r>
          </w:p>
        </w:tc>
      </w:tr>
      <w:tr w:rsidR="00DF5E14" w:rsidRPr="0055721B" w14:paraId="7BE49206" w14:textId="77777777" w:rsidTr="00997063">
        <w:trPr>
          <w:trHeight w:val="345"/>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2BF29C54"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Papelería</w:t>
            </w:r>
          </w:p>
        </w:tc>
        <w:tc>
          <w:tcPr>
            <w:tcW w:w="2020" w:type="dxa"/>
            <w:tcBorders>
              <w:top w:val="nil"/>
              <w:left w:val="nil"/>
              <w:bottom w:val="single" w:sz="4" w:space="0" w:color="BFBFBF"/>
              <w:right w:val="single" w:sz="4" w:space="0" w:color="BFBFBF"/>
            </w:tcBorders>
            <w:shd w:val="clear" w:color="000000" w:fill="FFFFFF"/>
            <w:vAlign w:val="center"/>
            <w:hideMark/>
          </w:tcPr>
          <w:p w14:paraId="156401D5"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$ 206.072.064</w:t>
            </w:r>
          </w:p>
        </w:tc>
        <w:tc>
          <w:tcPr>
            <w:tcW w:w="2120" w:type="dxa"/>
            <w:tcBorders>
              <w:top w:val="nil"/>
              <w:left w:val="nil"/>
              <w:bottom w:val="single" w:sz="4" w:space="0" w:color="BFBFBF"/>
              <w:right w:val="single" w:sz="4" w:space="0" w:color="BFBFBF"/>
            </w:tcBorders>
            <w:shd w:val="clear" w:color="auto" w:fill="auto"/>
            <w:noWrap/>
            <w:vAlign w:val="bottom"/>
            <w:hideMark/>
          </w:tcPr>
          <w:p w14:paraId="38A70E83"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0,6%</w:t>
            </w:r>
          </w:p>
        </w:tc>
      </w:tr>
      <w:tr w:rsidR="00DF5E14" w:rsidRPr="0055721B" w14:paraId="02C5DA64"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0AC2F99A" w14:textId="6E079F9A"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Arrendam</w:t>
            </w:r>
            <w:r w:rsidR="00997063" w:rsidRPr="0055721B">
              <w:rPr>
                <w:rFonts w:eastAsia="Times New Roman" w:cs="Calibri"/>
                <w:color w:val="000000"/>
                <w:sz w:val="22"/>
                <w:szCs w:val="22"/>
                <w:lang w:val="es-CO" w:eastAsia="es-CO"/>
              </w:rPr>
              <w:t>iento</w:t>
            </w:r>
            <w:r w:rsidRPr="0055721B">
              <w:rPr>
                <w:rFonts w:eastAsia="Times New Roman" w:cs="Calibri"/>
                <w:color w:val="000000"/>
                <w:sz w:val="22"/>
                <w:szCs w:val="22"/>
                <w:lang w:val="es-CO" w:eastAsia="es-CO"/>
              </w:rPr>
              <w:t xml:space="preserve"> de vehículos</w:t>
            </w:r>
          </w:p>
        </w:tc>
        <w:tc>
          <w:tcPr>
            <w:tcW w:w="2020" w:type="dxa"/>
            <w:tcBorders>
              <w:top w:val="nil"/>
              <w:left w:val="nil"/>
              <w:bottom w:val="single" w:sz="4" w:space="0" w:color="BFBFBF"/>
              <w:right w:val="single" w:sz="4" w:space="0" w:color="BFBFBF"/>
            </w:tcBorders>
            <w:shd w:val="clear" w:color="000000" w:fill="FFFFFF"/>
            <w:vAlign w:val="center"/>
            <w:hideMark/>
          </w:tcPr>
          <w:p w14:paraId="74EE4183"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$ 203.448.000</w:t>
            </w:r>
          </w:p>
        </w:tc>
        <w:tc>
          <w:tcPr>
            <w:tcW w:w="2120" w:type="dxa"/>
            <w:tcBorders>
              <w:top w:val="nil"/>
              <w:left w:val="nil"/>
              <w:bottom w:val="single" w:sz="4" w:space="0" w:color="BFBFBF"/>
              <w:right w:val="single" w:sz="4" w:space="0" w:color="BFBFBF"/>
            </w:tcBorders>
            <w:shd w:val="clear" w:color="auto" w:fill="auto"/>
            <w:noWrap/>
            <w:vAlign w:val="bottom"/>
            <w:hideMark/>
          </w:tcPr>
          <w:p w14:paraId="7354441C"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0,6%</w:t>
            </w:r>
          </w:p>
        </w:tc>
      </w:tr>
      <w:tr w:rsidR="00DF5E14" w:rsidRPr="0055721B" w14:paraId="61D1107A"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B57D750" w14:textId="57FB1654"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Apoyos Sub</w:t>
            </w:r>
            <w:r w:rsidR="00997063" w:rsidRPr="0055721B">
              <w:rPr>
                <w:rFonts w:eastAsia="Times New Roman" w:cs="Calibri"/>
                <w:color w:val="000000"/>
                <w:sz w:val="22"/>
                <w:szCs w:val="22"/>
                <w:lang w:val="es-CO" w:eastAsia="es-CO"/>
              </w:rPr>
              <w:t>.</w:t>
            </w:r>
            <w:r w:rsidRPr="0055721B">
              <w:rPr>
                <w:rFonts w:eastAsia="Times New Roman" w:cs="Calibri"/>
                <w:color w:val="000000"/>
                <w:sz w:val="22"/>
                <w:szCs w:val="22"/>
                <w:lang w:val="es-CO" w:eastAsia="es-CO"/>
              </w:rPr>
              <w:t xml:space="preserve"> Financiera</w:t>
            </w:r>
          </w:p>
        </w:tc>
        <w:tc>
          <w:tcPr>
            <w:tcW w:w="2020" w:type="dxa"/>
            <w:tcBorders>
              <w:top w:val="nil"/>
              <w:left w:val="nil"/>
              <w:bottom w:val="single" w:sz="4" w:space="0" w:color="BFBFBF"/>
              <w:right w:val="single" w:sz="4" w:space="0" w:color="BFBFBF"/>
            </w:tcBorders>
            <w:shd w:val="clear" w:color="000000" w:fill="FFFFFF"/>
            <w:vAlign w:val="center"/>
            <w:hideMark/>
          </w:tcPr>
          <w:p w14:paraId="73EBFF9D"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$ 199.298.043</w:t>
            </w:r>
          </w:p>
        </w:tc>
        <w:tc>
          <w:tcPr>
            <w:tcW w:w="2120" w:type="dxa"/>
            <w:tcBorders>
              <w:top w:val="nil"/>
              <w:left w:val="nil"/>
              <w:bottom w:val="single" w:sz="4" w:space="0" w:color="BFBFBF"/>
              <w:right w:val="single" w:sz="4" w:space="0" w:color="BFBFBF"/>
            </w:tcBorders>
            <w:shd w:val="clear" w:color="auto" w:fill="auto"/>
            <w:noWrap/>
            <w:vAlign w:val="bottom"/>
            <w:hideMark/>
          </w:tcPr>
          <w:p w14:paraId="3FBA1C00"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0,6%</w:t>
            </w:r>
          </w:p>
        </w:tc>
      </w:tr>
      <w:tr w:rsidR="00DF5E14" w:rsidRPr="0055721B" w14:paraId="10EB0AA0" w14:textId="77777777" w:rsidTr="00997063">
        <w:trPr>
          <w:trHeight w:val="11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2C72086A"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Servicios públicos sede alterna</w:t>
            </w:r>
          </w:p>
        </w:tc>
        <w:tc>
          <w:tcPr>
            <w:tcW w:w="2020" w:type="dxa"/>
            <w:tcBorders>
              <w:top w:val="nil"/>
              <w:left w:val="nil"/>
              <w:bottom w:val="single" w:sz="4" w:space="0" w:color="BFBFBF"/>
              <w:right w:val="single" w:sz="4" w:space="0" w:color="BFBFBF"/>
            </w:tcBorders>
            <w:shd w:val="clear" w:color="000000" w:fill="FFFFFF"/>
            <w:vAlign w:val="center"/>
            <w:hideMark/>
          </w:tcPr>
          <w:p w14:paraId="2DB99A28"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$ 84.800.000</w:t>
            </w:r>
          </w:p>
        </w:tc>
        <w:tc>
          <w:tcPr>
            <w:tcW w:w="2120" w:type="dxa"/>
            <w:tcBorders>
              <w:top w:val="nil"/>
              <w:left w:val="nil"/>
              <w:bottom w:val="single" w:sz="4" w:space="0" w:color="BFBFBF"/>
              <w:right w:val="single" w:sz="4" w:space="0" w:color="BFBFBF"/>
            </w:tcBorders>
            <w:shd w:val="clear" w:color="auto" w:fill="auto"/>
            <w:noWrap/>
            <w:vAlign w:val="bottom"/>
            <w:hideMark/>
          </w:tcPr>
          <w:p w14:paraId="445BCD98"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0,2%</w:t>
            </w:r>
          </w:p>
        </w:tc>
      </w:tr>
      <w:tr w:rsidR="00DF5E14" w:rsidRPr="0055721B" w14:paraId="63B34FEE"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24035DC4"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Ferretería</w:t>
            </w:r>
          </w:p>
        </w:tc>
        <w:tc>
          <w:tcPr>
            <w:tcW w:w="2020" w:type="dxa"/>
            <w:tcBorders>
              <w:top w:val="nil"/>
              <w:left w:val="nil"/>
              <w:bottom w:val="single" w:sz="4" w:space="0" w:color="BFBFBF"/>
              <w:right w:val="single" w:sz="4" w:space="0" w:color="BFBFBF"/>
            </w:tcBorders>
            <w:shd w:val="clear" w:color="000000" w:fill="FFFFFF"/>
            <w:vAlign w:val="center"/>
            <w:hideMark/>
          </w:tcPr>
          <w:p w14:paraId="3030E02D"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$ 74.200.000</w:t>
            </w:r>
          </w:p>
        </w:tc>
        <w:tc>
          <w:tcPr>
            <w:tcW w:w="2120" w:type="dxa"/>
            <w:tcBorders>
              <w:top w:val="nil"/>
              <w:left w:val="nil"/>
              <w:bottom w:val="single" w:sz="4" w:space="0" w:color="BFBFBF"/>
              <w:right w:val="single" w:sz="4" w:space="0" w:color="BFBFBF"/>
            </w:tcBorders>
            <w:shd w:val="clear" w:color="auto" w:fill="auto"/>
            <w:noWrap/>
            <w:vAlign w:val="bottom"/>
            <w:hideMark/>
          </w:tcPr>
          <w:p w14:paraId="5E14EC1F"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0,2%</w:t>
            </w:r>
          </w:p>
        </w:tc>
      </w:tr>
      <w:tr w:rsidR="00DF5E14" w:rsidRPr="0055721B" w14:paraId="355BC560"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10E4229" w14:textId="1C933631" w:rsidR="00DF5E14" w:rsidRPr="0055721B" w:rsidRDefault="00997063"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Apoyo</w:t>
            </w:r>
            <w:r w:rsidR="000737DA">
              <w:rPr>
                <w:rFonts w:eastAsia="Times New Roman" w:cs="Calibri"/>
                <w:color w:val="000000"/>
                <w:sz w:val="22"/>
                <w:szCs w:val="22"/>
                <w:lang w:val="es-CO" w:eastAsia="es-CO"/>
              </w:rPr>
              <w:t xml:space="preserve"> </w:t>
            </w:r>
            <w:r w:rsidR="00DF5E14" w:rsidRPr="0055721B">
              <w:rPr>
                <w:rFonts w:eastAsia="Times New Roman" w:cs="Calibri"/>
                <w:color w:val="000000"/>
                <w:sz w:val="22"/>
                <w:szCs w:val="22"/>
                <w:lang w:val="es-CO" w:eastAsia="es-CO"/>
              </w:rPr>
              <w:t>Sub. Contratación</w:t>
            </w:r>
          </w:p>
        </w:tc>
        <w:tc>
          <w:tcPr>
            <w:tcW w:w="2020" w:type="dxa"/>
            <w:tcBorders>
              <w:top w:val="nil"/>
              <w:left w:val="nil"/>
              <w:bottom w:val="single" w:sz="4" w:space="0" w:color="BFBFBF"/>
              <w:right w:val="single" w:sz="4" w:space="0" w:color="BFBFBF"/>
            </w:tcBorders>
            <w:shd w:val="clear" w:color="000000" w:fill="FFFFFF"/>
            <w:vAlign w:val="center"/>
            <w:hideMark/>
          </w:tcPr>
          <w:p w14:paraId="4B0D23E4"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$ 50.698.623</w:t>
            </w:r>
          </w:p>
        </w:tc>
        <w:tc>
          <w:tcPr>
            <w:tcW w:w="2120" w:type="dxa"/>
            <w:tcBorders>
              <w:top w:val="nil"/>
              <w:left w:val="nil"/>
              <w:bottom w:val="single" w:sz="4" w:space="0" w:color="BFBFBF"/>
              <w:right w:val="single" w:sz="4" w:space="0" w:color="BFBFBF"/>
            </w:tcBorders>
            <w:shd w:val="clear" w:color="auto" w:fill="auto"/>
            <w:noWrap/>
            <w:vAlign w:val="bottom"/>
            <w:hideMark/>
          </w:tcPr>
          <w:p w14:paraId="5226CB8D"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4AF2AE7A"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1CAFD5F5"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Capacitaciones SSST</w:t>
            </w:r>
          </w:p>
        </w:tc>
        <w:tc>
          <w:tcPr>
            <w:tcW w:w="2020" w:type="dxa"/>
            <w:tcBorders>
              <w:top w:val="nil"/>
              <w:left w:val="nil"/>
              <w:bottom w:val="single" w:sz="4" w:space="0" w:color="BFBFBF"/>
              <w:right w:val="single" w:sz="4" w:space="0" w:color="BFBFBF"/>
            </w:tcBorders>
            <w:shd w:val="clear" w:color="000000" w:fill="FFFFFF"/>
            <w:vAlign w:val="center"/>
            <w:hideMark/>
          </w:tcPr>
          <w:p w14:paraId="20AFE8EE"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$ 44.634.000</w:t>
            </w:r>
          </w:p>
        </w:tc>
        <w:tc>
          <w:tcPr>
            <w:tcW w:w="2120" w:type="dxa"/>
            <w:tcBorders>
              <w:top w:val="nil"/>
              <w:left w:val="nil"/>
              <w:bottom w:val="single" w:sz="4" w:space="0" w:color="BFBFBF"/>
              <w:right w:val="single" w:sz="4" w:space="0" w:color="BFBFBF"/>
            </w:tcBorders>
            <w:shd w:val="clear" w:color="auto" w:fill="auto"/>
            <w:noWrap/>
            <w:vAlign w:val="bottom"/>
            <w:hideMark/>
          </w:tcPr>
          <w:p w14:paraId="1787AC88"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6013D408"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B1C6CB0" w14:textId="19FE9DDE" w:rsidR="00DF5E14" w:rsidRPr="0055721B" w:rsidRDefault="00997063"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Examen</w:t>
            </w:r>
            <w:r w:rsidR="00DF5E14" w:rsidRPr="0055721B">
              <w:rPr>
                <w:rFonts w:eastAsia="Times New Roman" w:cs="Calibri"/>
                <w:color w:val="000000"/>
                <w:sz w:val="22"/>
                <w:szCs w:val="22"/>
                <w:lang w:val="es-CO" w:eastAsia="es-CO"/>
              </w:rPr>
              <w:t xml:space="preserve"> médicos ocupacionales</w:t>
            </w:r>
          </w:p>
        </w:tc>
        <w:tc>
          <w:tcPr>
            <w:tcW w:w="2020" w:type="dxa"/>
            <w:tcBorders>
              <w:top w:val="nil"/>
              <w:left w:val="nil"/>
              <w:bottom w:val="single" w:sz="4" w:space="0" w:color="BFBFBF"/>
              <w:right w:val="single" w:sz="4" w:space="0" w:color="BFBFBF"/>
            </w:tcBorders>
            <w:shd w:val="clear" w:color="000000" w:fill="FFFFFF"/>
            <w:vAlign w:val="center"/>
            <w:hideMark/>
          </w:tcPr>
          <w:p w14:paraId="6C828B21"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$ 42.765.600</w:t>
            </w:r>
          </w:p>
        </w:tc>
        <w:tc>
          <w:tcPr>
            <w:tcW w:w="2120" w:type="dxa"/>
            <w:tcBorders>
              <w:top w:val="nil"/>
              <w:left w:val="nil"/>
              <w:bottom w:val="single" w:sz="4" w:space="0" w:color="BFBFBF"/>
              <w:right w:val="single" w:sz="4" w:space="0" w:color="BFBFBF"/>
            </w:tcBorders>
            <w:shd w:val="clear" w:color="auto" w:fill="auto"/>
            <w:noWrap/>
            <w:vAlign w:val="bottom"/>
            <w:hideMark/>
          </w:tcPr>
          <w:p w14:paraId="6720601B"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1562DBF1"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3BA2A25"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Impresiones y publicaciones</w:t>
            </w:r>
          </w:p>
        </w:tc>
        <w:tc>
          <w:tcPr>
            <w:tcW w:w="2020" w:type="dxa"/>
            <w:tcBorders>
              <w:top w:val="nil"/>
              <w:left w:val="nil"/>
              <w:bottom w:val="single" w:sz="4" w:space="0" w:color="BFBFBF"/>
              <w:right w:val="single" w:sz="4" w:space="0" w:color="BFBFBF"/>
            </w:tcBorders>
            <w:shd w:val="clear" w:color="000000" w:fill="FFFFFF"/>
            <w:vAlign w:val="center"/>
            <w:hideMark/>
          </w:tcPr>
          <w:p w14:paraId="47EFB538"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$ 40.000.000</w:t>
            </w:r>
          </w:p>
        </w:tc>
        <w:tc>
          <w:tcPr>
            <w:tcW w:w="2120" w:type="dxa"/>
            <w:tcBorders>
              <w:top w:val="nil"/>
              <w:left w:val="nil"/>
              <w:bottom w:val="single" w:sz="4" w:space="0" w:color="BFBFBF"/>
              <w:right w:val="single" w:sz="4" w:space="0" w:color="BFBFBF"/>
            </w:tcBorders>
            <w:shd w:val="clear" w:color="auto" w:fill="auto"/>
            <w:noWrap/>
            <w:vAlign w:val="bottom"/>
            <w:hideMark/>
          </w:tcPr>
          <w:p w14:paraId="5207EED9"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6806BDE9"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0C9C6F9D"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CPS Todero</w:t>
            </w:r>
          </w:p>
        </w:tc>
        <w:tc>
          <w:tcPr>
            <w:tcW w:w="2020" w:type="dxa"/>
            <w:tcBorders>
              <w:top w:val="nil"/>
              <w:left w:val="nil"/>
              <w:bottom w:val="single" w:sz="4" w:space="0" w:color="BFBFBF"/>
              <w:right w:val="single" w:sz="4" w:space="0" w:color="BFBFBF"/>
            </w:tcBorders>
            <w:shd w:val="clear" w:color="000000" w:fill="FFFFFF"/>
            <w:vAlign w:val="center"/>
            <w:hideMark/>
          </w:tcPr>
          <w:p w14:paraId="6872A350"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$ 39.789.864</w:t>
            </w:r>
          </w:p>
        </w:tc>
        <w:tc>
          <w:tcPr>
            <w:tcW w:w="2120" w:type="dxa"/>
            <w:tcBorders>
              <w:top w:val="nil"/>
              <w:left w:val="nil"/>
              <w:bottom w:val="single" w:sz="4" w:space="0" w:color="BFBFBF"/>
              <w:right w:val="single" w:sz="4" w:space="0" w:color="BFBFBF"/>
            </w:tcBorders>
            <w:shd w:val="clear" w:color="auto" w:fill="auto"/>
            <w:noWrap/>
            <w:vAlign w:val="bottom"/>
            <w:hideMark/>
          </w:tcPr>
          <w:p w14:paraId="10F026A2"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43A2B6FC"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65B08229"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Caja menor</w:t>
            </w:r>
          </w:p>
        </w:tc>
        <w:tc>
          <w:tcPr>
            <w:tcW w:w="2020" w:type="dxa"/>
            <w:tcBorders>
              <w:top w:val="nil"/>
              <w:left w:val="nil"/>
              <w:bottom w:val="single" w:sz="4" w:space="0" w:color="BFBFBF"/>
              <w:right w:val="single" w:sz="4" w:space="0" w:color="BFBFBF"/>
            </w:tcBorders>
            <w:shd w:val="clear" w:color="000000" w:fill="FFFFFF"/>
            <w:vAlign w:val="center"/>
            <w:hideMark/>
          </w:tcPr>
          <w:p w14:paraId="3F7E5C06"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$ 32.198.760</w:t>
            </w:r>
          </w:p>
        </w:tc>
        <w:tc>
          <w:tcPr>
            <w:tcW w:w="2120" w:type="dxa"/>
            <w:tcBorders>
              <w:top w:val="nil"/>
              <w:left w:val="nil"/>
              <w:bottom w:val="single" w:sz="4" w:space="0" w:color="BFBFBF"/>
              <w:right w:val="single" w:sz="4" w:space="0" w:color="BFBFBF"/>
            </w:tcBorders>
            <w:shd w:val="clear" w:color="auto" w:fill="auto"/>
            <w:noWrap/>
            <w:vAlign w:val="bottom"/>
            <w:hideMark/>
          </w:tcPr>
          <w:p w14:paraId="6D9D390E"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2A18DB5B"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452C6C6"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Elementos Carnetizadora</w:t>
            </w:r>
          </w:p>
        </w:tc>
        <w:tc>
          <w:tcPr>
            <w:tcW w:w="2020" w:type="dxa"/>
            <w:tcBorders>
              <w:top w:val="nil"/>
              <w:left w:val="nil"/>
              <w:bottom w:val="single" w:sz="4" w:space="0" w:color="BFBFBF"/>
              <w:right w:val="single" w:sz="4" w:space="0" w:color="BFBFBF"/>
            </w:tcBorders>
            <w:shd w:val="clear" w:color="000000" w:fill="FFFFFF"/>
            <w:vAlign w:val="center"/>
            <w:hideMark/>
          </w:tcPr>
          <w:p w14:paraId="06A082FC"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$ 25.950.000</w:t>
            </w:r>
          </w:p>
        </w:tc>
        <w:tc>
          <w:tcPr>
            <w:tcW w:w="2120" w:type="dxa"/>
            <w:tcBorders>
              <w:top w:val="nil"/>
              <w:left w:val="nil"/>
              <w:bottom w:val="single" w:sz="4" w:space="0" w:color="BFBFBF"/>
              <w:right w:val="single" w:sz="4" w:space="0" w:color="BFBFBF"/>
            </w:tcBorders>
            <w:shd w:val="clear" w:color="auto" w:fill="auto"/>
            <w:noWrap/>
            <w:vAlign w:val="bottom"/>
            <w:hideMark/>
          </w:tcPr>
          <w:p w14:paraId="56CDA3FC"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6A5BC5D6"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16A3FF9D"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xml:space="preserve">Elementos protección </w:t>
            </w:r>
          </w:p>
        </w:tc>
        <w:tc>
          <w:tcPr>
            <w:tcW w:w="2020" w:type="dxa"/>
            <w:tcBorders>
              <w:top w:val="nil"/>
              <w:left w:val="nil"/>
              <w:bottom w:val="single" w:sz="4" w:space="0" w:color="BFBFBF"/>
              <w:right w:val="single" w:sz="4" w:space="0" w:color="BFBFBF"/>
            </w:tcBorders>
            <w:shd w:val="clear" w:color="000000" w:fill="FFFFFF"/>
            <w:vAlign w:val="center"/>
            <w:hideMark/>
          </w:tcPr>
          <w:p w14:paraId="2C91DD70"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$ 23.874.000</w:t>
            </w:r>
          </w:p>
        </w:tc>
        <w:tc>
          <w:tcPr>
            <w:tcW w:w="2120" w:type="dxa"/>
            <w:tcBorders>
              <w:top w:val="nil"/>
              <w:left w:val="nil"/>
              <w:bottom w:val="single" w:sz="4" w:space="0" w:color="BFBFBF"/>
              <w:right w:val="single" w:sz="4" w:space="0" w:color="BFBFBF"/>
            </w:tcBorders>
            <w:shd w:val="clear" w:color="auto" w:fill="auto"/>
            <w:noWrap/>
            <w:vAlign w:val="bottom"/>
            <w:hideMark/>
          </w:tcPr>
          <w:p w14:paraId="72E8DC63"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080659E3"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DC196F4"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CPS Auxiliar</w:t>
            </w:r>
          </w:p>
        </w:tc>
        <w:tc>
          <w:tcPr>
            <w:tcW w:w="2020" w:type="dxa"/>
            <w:tcBorders>
              <w:top w:val="nil"/>
              <w:left w:val="nil"/>
              <w:bottom w:val="single" w:sz="4" w:space="0" w:color="BFBFBF"/>
              <w:right w:val="single" w:sz="4" w:space="0" w:color="BFBFBF"/>
            </w:tcBorders>
            <w:shd w:val="clear" w:color="000000" w:fill="FFFFFF"/>
            <w:vAlign w:val="center"/>
            <w:hideMark/>
          </w:tcPr>
          <w:p w14:paraId="66C90447"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$ 21.221.256</w:t>
            </w:r>
          </w:p>
        </w:tc>
        <w:tc>
          <w:tcPr>
            <w:tcW w:w="2120" w:type="dxa"/>
            <w:tcBorders>
              <w:top w:val="nil"/>
              <w:left w:val="nil"/>
              <w:bottom w:val="single" w:sz="4" w:space="0" w:color="BFBFBF"/>
              <w:right w:val="single" w:sz="4" w:space="0" w:color="BFBFBF"/>
            </w:tcBorders>
            <w:shd w:val="clear" w:color="auto" w:fill="auto"/>
            <w:noWrap/>
            <w:vAlign w:val="bottom"/>
            <w:hideMark/>
          </w:tcPr>
          <w:p w14:paraId="48B5F860"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0,1%</w:t>
            </w:r>
          </w:p>
        </w:tc>
      </w:tr>
      <w:tr w:rsidR="00DF5E14" w:rsidRPr="0055721B" w14:paraId="1D54E54E"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76B3193A"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Token</w:t>
            </w:r>
          </w:p>
        </w:tc>
        <w:tc>
          <w:tcPr>
            <w:tcW w:w="2020" w:type="dxa"/>
            <w:tcBorders>
              <w:top w:val="nil"/>
              <w:left w:val="nil"/>
              <w:bottom w:val="single" w:sz="4" w:space="0" w:color="BFBFBF"/>
              <w:right w:val="single" w:sz="4" w:space="0" w:color="BFBFBF"/>
            </w:tcBorders>
            <w:shd w:val="clear" w:color="000000" w:fill="FFFFFF"/>
            <w:vAlign w:val="center"/>
            <w:hideMark/>
          </w:tcPr>
          <w:p w14:paraId="4FDBB603"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$ 4.000.000</w:t>
            </w:r>
          </w:p>
        </w:tc>
        <w:tc>
          <w:tcPr>
            <w:tcW w:w="2120" w:type="dxa"/>
            <w:tcBorders>
              <w:top w:val="nil"/>
              <w:left w:val="nil"/>
              <w:bottom w:val="single" w:sz="4" w:space="0" w:color="BFBFBF"/>
              <w:right w:val="single" w:sz="4" w:space="0" w:color="BFBFBF"/>
            </w:tcBorders>
            <w:shd w:val="clear" w:color="auto" w:fill="auto"/>
            <w:noWrap/>
            <w:vAlign w:val="bottom"/>
            <w:hideMark/>
          </w:tcPr>
          <w:p w14:paraId="3AE27951"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0,0%</w:t>
            </w:r>
          </w:p>
        </w:tc>
      </w:tr>
      <w:tr w:rsidR="00DF5E14" w:rsidRPr="0055721B" w14:paraId="0FF5E961" w14:textId="77777777" w:rsidTr="00997063">
        <w:trPr>
          <w:trHeight w:val="330"/>
          <w:jc w:val="center"/>
        </w:trPr>
        <w:tc>
          <w:tcPr>
            <w:tcW w:w="3551" w:type="dxa"/>
            <w:tcBorders>
              <w:top w:val="nil"/>
              <w:left w:val="single" w:sz="4" w:space="0" w:color="BFBFBF"/>
              <w:bottom w:val="single" w:sz="4" w:space="0" w:color="BFBFBF"/>
              <w:right w:val="single" w:sz="4" w:space="0" w:color="BFBFBF"/>
            </w:tcBorders>
            <w:shd w:val="clear" w:color="000000" w:fill="FFFFFF"/>
            <w:vAlign w:val="center"/>
            <w:hideMark/>
          </w:tcPr>
          <w:p w14:paraId="5CEDA2BF" w14:textId="77777777" w:rsidR="00DF5E14" w:rsidRPr="0055721B" w:rsidRDefault="00DF5E14" w:rsidP="006A1B70">
            <w:pPr>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ARL Todero</w:t>
            </w:r>
          </w:p>
        </w:tc>
        <w:tc>
          <w:tcPr>
            <w:tcW w:w="2020" w:type="dxa"/>
            <w:tcBorders>
              <w:top w:val="nil"/>
              <w:left w:val="nil"/>
              <w:bottom w:val="single" w:sz="4" w:space="0" w:color="BFBFBF"/>
              <w:right w:val="single" w:sz="4" w:space="0" w:color="BFBFBF"/>
            </w:tcBorders>
            <w:shd w:val="clear" w:color="000000" w:fill="FFFFFF"/>
            <w:vAlign w:val="center"/>
            <w:hideMark/>
          </w:tcPr>
          <w:p w14:paraId="2389692F" w14:textId="77777777" w:rsidR="00DF5E14" w:rsidRPr="0055721B" w:rsidRDefault="00DF5E14" w:rsidP="006A1B70">
            <w:pPr>
              <w:ind w:firstLineChars="100" w:firstLine="220"/>
              <w:jc w:val="right"/>
              <w:rPr>
                <w:rFonts w:eastAsia="Times New Roman" w:cs="Calibri"/>
                <w:color w:val="000000"/>
                <w:sz w:val="22"/>
                <w:szCs w:val="22"/>
                <w:lang w:val="es-CO" w:eastAsia="es-CO"/>
              </w:rPr>
            </w:pPr>
            <w:r w:rsidRPr="0055721B">
              <w:rPr>
                <w:rFonts w:eastAsia="Times New Roman" w:cs="Calibri"/>
                <w:color w:val="000000"/>
                <w:sz w:val="22"/>
                <w:szCs w:val="22"/>
                <w:lang w:val="es-CO" w:eastAsia="es-CO"/>
              </w:rPr>
              <w:t>$ 1.000.000</w:t>
            </w:r>
          </w:p>
        </w:tc>
        <w:tc>
          <w:tcPr>
            <w:tcW w:w="2120" w:type="dxa"/>
            <w:tcBorders>
              <w:top w:val="nil"/>
              <w:left w:val="nil"/>
              <w:bottom w:val="single" w:sz="4" w:space="0" w:color="BFBFBF"/>
              <w:right w:val="single" w:sz="4" w:space="0" w:color="BFBFBF"/>
            </w:tcBorders>
            <w:shd w:val="clear" w:color="auto" w:fill="auto"/>
            <w:noWrap/>
            <w:vAlign w:val="bottom"/>
            <w:hideMark/>
          </w:tcPr>
          <w:p w14:paraId="6994E3D9" w14:textId="77777777" w:rsidR="00DF5E14" w:rsidRPr="0055721B" w:rsidRDefault="00DF5E14" w:rsidP="006A1B70">
            <w:pPr>
              <w:jc w:val="center"/>
              <w:rPr>
                <w:rFonts w:eastAsia="Times New Roman" w:cs="Calibri"/>
                <w:color w:val="000000"/>
                <w:sz w:val="22"/>
                <w:szCs w:val="22"/>
                <w:lang w:val="es-CO" w:eastAsia="es-CO"/>
              </w:rPr>
            </w:pPr>
            <w:r w:rsidRPr="0055721B">
              <w:rPr>
                <w:rFonts w:eastAsia="Times New Roman" w:cs="Calibri"/>
                <w:color w:val="000000"/>
                <w:sz w:val="22"/>
                <w:szCs w:val="22"/>
                <w:lang w:val="es-CO" w:eastAsia="es-CO"/>
              </w:rPr>
              <w:t>0,0%</w:t>
            </w:r>
          </w:p>
        </w:tc>
      </w:tr>
      <w:tr w:rsidR="00DF5E14" w:rsidRPr="00DF5E14" w14:paraId="0BBD363E" w14:textId="77777777" w:rsidTr="00997063">
        <w:trPr>
          <w:trHeight w:val="345"/>
          <w:jc w:val="center"/>
        </w:trPr>
        <w:tc>
          <w:tcPr>
            <w:tcW w:w="3551" w:type="dxa"/>
            <w:tcBorders>
              <w:top w:val="nil"/>
              <w:left w:val="single" w:sz="4" w:space="0" w:color="BFBFBF"/>
              <w:bottom w:val="single" w:sz="4" w:space="0" w:color="BFBFBF"/>
              <w:right w:val="single" w:sz="4" w:space="0" w:color="BFBFBF"/>
            </w:tcBorders>
            <w:shd w:val="clear" w:color="000000" w:fill="002060"/>
            <w:vAlign w:val="center"/>
            <w:hideMark/>
          </w:tcPr>
          <w:p w14:paraId="6806F724" w14:textId="77777777" w:rsidR="00DF5E14" w:rsidRPr="0055721B" w:rsidRDefault="00DF5E14" w:rsidP="006A1B70">
            <w:pPr>
              <w:jc w:val="center"/>
              <w:rPr>
                <w:rFonts w:eastAsia="Times New Roman" w:cs="Calibri"/>
                <w:b/>
                <w:bCs/>
                <w:color w:val="FFFFFF"/>
                <w:sz w:val="22"/>
                <w:szCs w:val="22"/>
                <w:lang w:val="es-CO" w:eastAsia="es-CO"/>
              </w:rPr>
            </w:pPr>
            <w:r w:rsidRPr="0055721B">
              <w:rPr>
                <w:rFonts w:eastAsia="Times New Roman" w:cs="Calibri"/>
                <w:b/>
                <w:bCs/>
                <w:color w:val="FFFFFF"/>
                <w:sz w:val="22"/>
                <w:szCs w:val="22"/>
                <w:lang w:val="es-CO" w:eastAsia="es-CO"/>
              </w:rPr>
              <w:t>Total</w:t>
            </w:r>
          </w:p>
        </w:tc>
        <w:tc>
          <w:tcPr>
            <w:tcW w:w="2020" w:type="dxa"/>
            <w:tcBorders>
              <w:top w:val="nil"/>
              <w:left w:val="nil"/>
              <w:bottom w:val="single" w:sz="4" w:space="0" w:color="BFBFBF"/>
              <w:right w:val="single" w:sz="4" w:space="0" w:color="BFBFBF"/>
            </w:tcBorders>
            <w:shd w:val="clear" w:color="000000" w:fill="002060"/>
            <w:vAlign w:val="center"/>
            <w:hideMark/>
          </w:tcPr>
          <w:p w14:paraId="6E44162A" w14:textId="77777777" w:rsidR="00DF5E14" w:rsidRPr="00DF5E14" w:rsidRDefault="00DF5E14" w:rsidP="006A1B70">
            <w:pPr>
              <w:jc w:val="center"/>
              <w:rPr>
                <w:rFonts w:eastAsia="Times New Roman" w:cs="Calibri"/>
                <w:b/>
                <w:bCs/>
                <w:color w:val="FFFFFF"/>
                <w:sz w:val="22"/>
                <w:szCs w:val="22"/>
                <w:lang w:val="es-CO" w:eastAsia="es-CO"/>
              </w:rPr>
            </w:pPr>
            <w:r w:rsidRPr="0055721B">
              <w:rPr>
                <w:rFonts w:eastAsia="Times New Roman" w:cs="Calibri"/>
                <w:b/>
                <w:bCs/>
                <w:color w:val="FFFFFF"/>
                <w:sz w:val="22"/>
                <w:szCs w:val="22"/>
                <w:lang w:val="es-CO" w:eastAsia="es-CO"/>
              </w:rPr>
              <w:t>$ 35.322.089.990</w:t>
            </w:r>
          </w:p>
        </w:tc>
        <w:tc>
          <w:tcPr>
            <w:tcW w:w="2120" w:type="dxa"/>
            <w:tcBorders>
              <w:top w:val="nil"/>
              <w:left w:val="nil"/>
              <w:bottom w:val="single" w:sz="4" w:space="0" w:color="BFBFBF"/>
              <w:right w:val="single" w:sz="4" w:space="0" w:color="BFBFBF"/>
            </w:tcBorders>
            <w:shd w:val="clear" w:color="auto" w:fill="auto"/>
            <w:noWrap/>
            <w:vAlign w:val="bottom"/>
            <w:hideMark/>
          </w:tcPr>
          <w:p w14:paraId="45132D49" w14:textId="24561707" w:rsidR="00DF5E14" w:rsidRPr="00DF5E14" w:rsidRDefault="00DF5E14" w:rsidP="006A1B70">
            <w:pPr>
              <w:jc w:val="center"/>
              <w:rPr>
                <w:rFonts w:eastAsia="Times New Roman" w:cs="Calibri"/>
                <w:color w:val="000000"/>
                <w:sz w:val="22"/>
                <w:szCs w:val="22"/>
                <w:lang w:val="es-CO" w:eastAsia="es-CO"/>
              </w:rPr>
            </w:pPr>
          </w:p>
        </w:tc>
      </w:tr>
    </w:tbl>
    <w:p w14:paraId="5D018697" w14:textId="72B8D369" w:rsidR="007604D9" w:rsidRPr="00942B99" w:rsidRDefault="007604D9" w:rsidP="00DB3190">
      <w:pPr>
        <w:jc w:val="both"/>
        <w:rPr>
          <w:rFonts w:cs="Arial"/>
          <w:lang w:val="es-CO"/>
        </w:rPr>
      </w:pPr>
      <w:r w:rsidRPr="00942B99">
        <w:rPr>
          <w:rFonts w:cs="Arial"/>
          <w:lang w:val="es-CO"/>
        </w:rPr>
        <w:lastRenderedPageBreak/>
        <w:t xml:space="preserve">Dado que la Jurisdicción no cuenta con espacios suficientes ni adecuados para el almacenamiento, custodia y conservación de los archivos de gestión y de los expedientes judiciales es necesario contratar estos servicios con un proveedor especializado e idóneo que supla la necesidad planteada, requiriendo para ello contar con el presupuesto que permita su contratación. </w:t>
      </w:r>
    </w:p>
    <w:p w14:paraId="1E95398E" w14:textId="77777777" w:rsidR="007604D9" w:rsidRPr="00942B99" w:rsidRDefault="007604D9" w:rsidP="00DB3190">
      <w:pPr>
        <w:jc w:val="both"/>
        <w:rPr>
          <w:rFonts w:cs="Arial"/>
          <w:lang w:val="es-CO"/>
        </w:rPr>
      </w:pPr>
    </w:p>
    <w:p w14:paraId="5DCDC93C" w14:textId="5692B9FC" w:rsidR="007604D9" w:rsidRPr="00942B99" w:rsidRDefault="007604D9" w:rsidP="00DB3190">
      <w:pPr>
        <w:jc w:val="both"/>
        <w:rPr>
          <w:rFonts w:cs="Arial"/>
          <w:lang w:val="es-CO"/>
        </w:rPr>
      </w:pPr>
      <w:r w:rsidRPr="00942B99">
        <w:rPr>
          <w:rFonts w:cs="Arial"/>
          <w:lang w:val="es-CO"/>
        </w:rPr>
        <w:t>En cuanto al servicio de correo certificado es requerido en virtud de los procesos misionales y estratégicos que desarrolla la Jurisdicción dada la exigencia procedimental y probatoria de verificación de entrega de los documentos de carácter administrativo y judicial enviados a los diferentes destinatarios dentro del territorio nacional y de ser requerido a destino internacional, en procura de garantizar los derechos de los procesados, víctimas y ciudadanos en genera</w:t>
      </w:r>
      <w:r w:rsidR="00CC2B4C" w:rsidRPr="00942B99">
        <w:rPr>
          <w:rFonts w:cs="Arial"/>
          <w:lang w:val="es-CO"/>
        </w:rPr>
        <w:t>l.</w:t>
      </w:r>
      <w:r w:rsidR="000737DA">
        <w:rPr>
          <w:rFonts w:cs="Arial"/>
          <w:lang w:val="es-CO"/>
        </w:rPr>
        <w:t xml:space="preserve"> </w:t>
      </w:r>
      <w:r w:rsidR="00CC2B4C" w:rsidRPr="00942B99">
        <w:rPr>
          <w:rFonts w:cs="Arial"/>
          <w:lang w:val="es-CO"/>
        </w:rPr>
        <w:t xml:space="preserve">Ante la necesidad planteada, </w:t>
      </w:r>
      <w:r w:rsidRPr="00942B99">
        <w:rPr>
          <w:rFonts w:cs="Arial"/>
          <w:lang w:val="es-CO"/>
        </w:rPr>
        <w:t>Servicios Postales Naciona</w:t>
      </w:r>
      <w:r w:rsidR="00CC2B4C" w:rsidRPr="00942B99">
        <w:rPr>
          <w:rFonts w:cs="Arial"/>
          <w:lang w:val="es-CO"/>
        </w:rPr>
        <w:t xml:space="preserve">les S.A. </w:t>
      </w:r>
      <w:r w:rsidRPr="00942B99">
        <w:rPr>
          <w:rFonts w:cs="Arial"/>
          <w:lang w:val="es-CO"/>
        </w:rPr>
        <w:t xml:space="preserve">es la única compañía autorizada en Colombia para prestar el </w:t>
      </w:r>
      <w:r w:rsidR="00CC2B4C" w:rsidRPr="00942B99">
        <w:rPr>
          <w:rFonts w:cs="Arial"/>
          <w:lang w:val="es-CO"/>
        </w:rPr>
        <w:t xml:space="preserve">servicio de correo certificado </w:t>
      </w:r>
      <w:r w:rsidRPr="00942B99">
        <w:rPr>
          <w:rFonts w:cs="Arial"/>
          <w:lang w:val="es-CO"/>
        </w:rPr>
        <w:t>bajo las determinaciones legales que rigen la materia</w:t>
      </w:r>
      <w:r w:rsidR="00CC2B4C" w:rsidRPr="00942B99">
        <w:rPr>
          <w:rFonts w:cs="Arial"/>
          <w:lang w:val="es-CO"/>
        </w:rPr>
        <w:t>.</w:t>
      </w:r>
    </w:p>
    <w:p w14:paraId="5F738C83" w14:textId="77777777" w:rsidR="007B491B" w:rsidRDefault="007B491B">
      <w:pPr>
        <w:rPr>
          <w:rFonts w:eastAsiaTheme="majorEastAsia" w:cstheme="majorBidi"/>
          <w:color w:val="2F5496" w:themeColor="accent1" w:themeShade="BF"/>
          <w:lang w:val="es-CO"/>
        </w:rPr>
      </w:pPr>
      <w:bookmarkStart w:id="17" w:name="_Toc36031119"/>
    </w:p>
    <w:p w14:paraId="3ED1EBB0" w14:textId="60224CDD" w:rsidR="00D77A19" w:rsidRPr="00B17E11" w:rsidRDefault="00D77A19" w:rsidP="00DB3190">
      <w:pPr>
        <w:pStyle w:val="Ttulo3"/>
        <w:numPr>
          <w:ilvl w:val="2"/>
          <w:numId w:val="4"/>
        </w:numPr>
        <w:spacing w:before="0"/>
        <w:rPr>
          <w:rFonts w:ascii="Palatino Linotype" w:hAnsi="Palatino Linotype"/>
          <w:b/>
          <w:color w:val="2F5496" w:themeColor="accent1" w:themeShade="BF"/>
          <w:lang w:val="es-CO"/>
        </w:rPr>
      </w:pPr>
      <w:r w:rsidRPr="00B17E11">
        <w:rPr>
          <w:rFonts w:ascii="Palatino Linotype" w:hAnsi="Palatino Linotype"/>
          <w:b/>
          <w:color w:val="2F5496" w:themeColor="accent1" w:themeShade="BF"/>
          <w:lang w:val="es-CO"/>
        </w:rPr>
        <w:t>Presupuesto de inversión 2021</w:t>
      </w:r>
      <w:bookmarkEnd w:id="17"/>
    </w:p>
    <w:p w14:paraId="255CFC37" w14:textId="77777777" w:rsidR="00357226" w:rsidRPr="002449A6" w:rsidRDefault="00357226" w:rsidP="00DB3190">
      <w:pPr>
        <w:jc w:val="both"/>
        <w:rPr>
          <w:b/>
          <w:sz w:val="18"/>
          <w:lang w:val="es-CO"/>
        </w:rPr>
      </w:pPr>
    </w:p>
    <w:p w14:paraId="0F2B99AE" w14:textId="56E7CD51" w:rsidR="00423258" w:rsidRPr="00942B99" w:rsidRDefault="00395A86" w:rsidP="00DB3190">
      <w:pPr>
        <w:jc w:val="both"/>
        <w:rPr>
          <w:lang w:val="es-CO"/>
        </w:rPr>
      </w:pPr>
      <w:r w:rsidRPr="00942B99">
        <w:rPr>
          <w:lang w:val="es-CO"/>
        </w:rPr>
        <w:t xml:space="preserve">El presupuesto de </w:t>
      </w:r>
      <w:r w:rsidR="00BB2A53" w:rsidRPr="00942B99">
        <w:rPr>
          <w:lang w:val="es-CO"/>
        </w:rPr>
        <w:t>inversión</w:t>
      </w:r>
      <w:r w:rsidRPr="00942B99">
        <w:rPr>
          <w:lang w:val="es-CO"/>
        </w:rPr>
        <w:t xml:space="preserve"> requerido para 2021 por la JEP asciende a $</w:t>
      </w:r>
      <w:r w:rsidR="00B66160" w:rsidRPr="00942B99">
        <w:rPr>
          <w:lang w:val="es-CO"/>
        </w:rPr>
        <w:t>199.087.350.196</w:t>
      </w:r>
      <w:r w:rsidRPr="00942B99">
        <w:rPr>
          <w:lang w:val="es-CO"/>
        </w:rPr>
        <w:t xml:space="preserve">, manteniendo </w:t>
      </w:r>
      <w:r w:rsidR="00640BD3" w:rsidRPr="00942B99">
        <w:rPr>
          <w:lang w:val="es-CO"/>
        </w:rPr>
        <w:t>los 6 proyectos</w:t>
      </w:r>
      <w:r w:rsidR="003753C5" w:rsidRPr="00942B99">
        <w:rPr>
          <w:lang w:val="es-CO"/>
        </w:rPr>
        <w:t xml:space="preserve"> que están en ejecución en 2020</w:t>
      </w:r>
      <w:r w:rsidR="003753C5" w:rsidRPr="00B17E11">
        <w:rPr>
          <w:lang w:val="es-CO"/>
        </w:rPr>
        <w:t>, con una eventual excepción de un posible nuevo proyecto que la UIA ha planteado formular orientado a investigación y policía judicial, separando tal componente del actual proyecto de Justicia.</w:t>
      </w:r>
      <w:r w:rsidR="00640BD3" w:rsidRPr="00942B99">
        <w:rPr>
          <w:lang w:val="es-CO"/>
        </w:rPr>
        <w:t xml:space="preserve"> </w:t>
      </w:r>
    </w:p>
    <w:p w14:paraId="7B01F2E6" w14:textId="77777777" w:rsidR="00423258" w:rsidRPr="00942B99" w:rsidRDefault="00423258" w:rsidP="00DB3190">
      <w:pPr>
        <w:jc w:val="both"/>
        <w:rPr>
          <w:lang w:val="es-CO"/>
        </w:rPr>
      </w:pPr>
    </w:p>
    <w:p w14:paraId="7D546F5E" w14:textId="34BA0205" w:rsidR="00395A86" w:rsidRPr="00942B99" w:rsidRDefault="00195CEC" w:rsidP="00DB3190">
      <w:pPr>
        <w:jc w:val="both"/>
        <w:rPr>
          <w:lang w:val="es-CO"/>
        </w:rPr>
      </w:pPr>
      <w:r w:rsidRPr="00942B99">
        <w:rPr>
          <w:lang w:val="es-CO"/>
        </w:rPr>
        <w:t xml:space="preserve">Estas necesidades de inversión representan un incremento </w:t>
      </w:r>
      <w:r w:rsidR="00486379" w:rsidRPr="00942B99">
        <w:rPr>
          <w:lang w:val="es-CO"/>
        </w:rPr>
        <w:t>del 42,2% frente al presupuesto de inversión apropiado en 2020, explicado principalmente por la</w:t>
      </w:r>
      <w:r w:rsidR="00837EBE" w:rsidRPr="00942B99">
        <w:rPr>
          <w:lang w:val="es-CO"/>
        </w:rPr>
        <w:t>s proyecciones estimadas para satisfacer las necesidades en los proyectos de Protección, Justicia y Fortalecimiento Institucional</w:t>
      </w:r>
      <w:r w:rsidR="0096221A" w:rsidRPr="00B17E11">
        <w:rPr>
          <w:lang w:val="es-CO"/>
        </w:rPr>
        <w:t>, en las que además se contempla el recurso humano necesario para continuar cumpliendo con las labores de investigación judicial y protección</w:t>
      </w:r>
      <w:r w:rsidR="00837EBE" w:rsidRPr="00B17E11">
        <w:rPr>
          <w:lang w:val="es-CO"/>
        </w:rPr>
        <w:t>. Así las cosas, frente al tope de inversión</w:t>
      </w:r>
      <w:r w:rsidR="00486379" w:rsidRPr="00942B99">
        <w:rPr>
          <w:lang w:val="es-CO"/>
        </w:rPr>
        <w:t xml:space="preserve"> </w:t>
      </w:r>
      <w:r w:rsidR="00837EBE" w:rsidRPr="00942B99">
        <w:rPr>
          <w:lang w:val="es-CO"/>
        </w:rPr>
        <w:t xml:space="preserve">indicado por el MHCP para el 2021, la Jurisdicción tendría un </w:t>
      </w:r>
      <w:r w:rsidR="00395A86" w:rsidRPr="00942B99">
        <w:rPr>
          <w:lang w:val="es-CO"/>
        </w:rPr>
        <w:t>una desfinanciación de $</w:t>
      </w:r>
      <w:r w:rsidR="00815BD0" w:rsidRPr="00942B99">
        <w:rPr>
          <w:lang w:val="es-CO"/>
        </w:rPr>
        <w:t>119.783.020.029</w:t>
      </w:r>
      <w:r w:rsidR="00395A86" w:rsidRPr="00942B99">
        <w:rPr>
          <w:lang w:val="es-CO"/>
        </w:rPr>
        <w:t xml:space="preserve"> </w:t>
      </w:r>
      <w:r w:rsidR="003753C5" w:rsidRPr="00942B99">
        <w:rPr>
          <w:lang w:val="es-CO"/>
        </w:rPr>
        <w:t>(Ver Tabla 5</w:t>
      </w:r>
      <w:r w:rsidR="00395A86" w:rsidRPr="00942B99">
        <w:rPr>
          <w:lang w:val="es-CO"/>
        </w:rPr>
        <w:t>)</w:t>
      </w:r>
    </w:p>
    <w:p w14:paraId="30D2EE4A" w14:textId="77777777" w:rsidR="006504F6" w:rsidRPr="00942B99" w:rsidRDefault="006504F6" w:rsidP="00DB3190">
      <w:pPr>
        <w:jc w:val="both"/>
        <w:rPr>
          <w:lang w:val="es-CO"/>
        </w:rPr>
      </w:pPr>
    </w:p>
    <w:p w14:paraId="270C47C7" w14:textId="476742BF" w:rsidR="006504F6" w:rsidRPr="00942B99" w:rsidRDefault="006504F6" w:rsidP="00DB3190">
      <w:pPr>
        <w:jc w:val="both"/>
        <w:rPr>
          <w:lang w:val="es-CO"/>
        </w:rPr>
      </w:pPr>
      <w:r w:rsidRPr="00942B99">
        <w:rPr>
          <w:lang w:val="es-CO"/>
        </w:rPr>
        <w:t>El 88,7% de este presupuesto corresponde a necesidades que se vienen cubriendo desde 2020 y requieren su continuidad porque no ha culminado su desarrollo, el 11,5% corresponde a necesidades que por la dinámica de la Jurisdicción, como se ha anotado en secciones que anteceden</w:t>
      </w:r>
      <w:r w:rsidR="003753C5" w:rsidRPr="00942B99">
        <w:rPr>
          <w:lang w:val="es-CO"/>
        </w:rPr>
        <w:t xml:space="preserve"> en este documento</w:t>
      </w:r>
      <w:r w:rsidRPr="00942B99">
        <w:rPr>
          <w:lang w:val="es-CO"/>
        </w:rPr>
        <w:t>, se requieren empezar a satisfacer en 2021.</w:t>
      </w:r>
      <w:r w:rsidR="000737DA">
        <w:rPr>
          <w:lang w:val="es-CO"/>
        </w:rPr>
        <w:t xml:space="preserve"> </w:t>
      </w:r>
      <w:r w:rsidR="0005174E" w:rsidRPr="00942B99">
        <w:rPr>
          <w:lang w:val="es-CO"/>
        </w:rPr>
        <w:t>El coste de las necesidades que contin</w:t>
      </w:r>
      <w:r w:rsidR="0009580B" w:rsidRPr="00942B99">
        <w:rPr>
          <w:lang w:val="es-CO"/>
        </w:rPr>
        <w:t>úan en 2021</w:t>
      </w:r>
      <w:r w:rsidR="0005174E" w:rsidRPr="00942B99">
        <w:rPr>
          <w:lang w:val="es-CO"/>
        </w:rPr>
        <w:t xml:space="preserve"> se hizo, por un parte, con un incremento de 3% en los honorarios de los prestadores de servicios y estimando en general una duración de servicio de 11 meses, con algunos casos excepcionales en los que por necesidades del servicio se requiere una duración de 11.5 meses. </w:t>
      </w:r>
      <w:r w:rsidR="0009580B" w:rsidRPr="00942B99">
        <w:rPr>
          <w:lang w:val="es-CO"/>
        </w:rPr>
        <w:t>Las demás necesidades que no se proveen a través de prestación de servicios, se costearon según los requerimientos técnicos estimados hasta el momento y el histórico de su costo.</w:t>
      </w:r>
    </w:p>
    <w:p w14:paraId="0AC9DDF3" w14:textId="77777777" w:rsidR="00395A86" w:rsidRPr="00942B99" w:rsidRDefault="00395A86" w:rsidP="00DB3190">
      <w:pPr>
        <w:jc w:val="both"/>
        <w:rPr>
          <w:rFonts w:eastAsia="Times New Roman"/>
          <w:b/>
          <w:noProof/>
          <w:lang w:val="es-CO"/>
        </w:rPr>
      </w:pPr>
    </w:p>
    <w:p w14:paraId="2EA48964" w14:textId="50CFD0AC" w:rsidR="001C0D43" w:rsidRPr="00942B99" w:rsidRDefault="00421F40" w:rsidP="00DB3190">
      <w:pPr>
        <w:jc w:val="both"/>
        <w:rPr>
          <w:lang w:val="es-CO"/>
        </w:rPr>
      </w:pPr>
      <w:r w:rsidRPr="00942B99">
        <w:rPr>
          <w:lang w:val="es-CO"/>
        </w:rPr>
        <w:t xml:space="preserve">En todo caso, se procederá a realizar el cargue en el SIIF por el tope anunciado en inversión; esto es, $79.304.330.167 y </w:t>
      </w:r>
      <w:r w:rsidR="001C0D43" w:rsidRPr="00942B99">
        <w:rPr>
          <w:lang w:val="es-CO"/>
        </w:rPr>
        <w:t xml:space="preserve">La JEP hará la presentación de los proyectos de inversión ante DNP para el Plan operativo anual de inversión, con los detalles y ajustes </w:t>
      </w:r>
      <w:r w:rsidR="001C0D43" w:rsidRPr="00942B99">
        <w:rPr>
          <w:lang w:val="es-CO"/>
        </w:rPr>
        <w:lastRenderedPageBreak/>
        <w:t>que correspondan. Así mismo, preparará comités funciones y sectorial de Marco de gasto de mediano plazo.</w:t>
      </w:r>
    </w:p>
    <w:p w14:paraId="27C56895" w14:textId="3A866B27" w:rsidR="002C1045" w:rsidRDefault="002C1045" w:rsidP="00DB3190">
      <w:pPr>
        <w:rPr>
          <w:b/>
          <w:i/>
          <w:iCs/>
          <w:sz w:val="22"/>
          <w:szCs w:val="22"/>
          <w:lang w:val="es-CO"/>
        </w:rPr>
      </w:pPr>
    </w:p>
    <w:p w14:paraId="37BC0CB9" w14:textId="4E6585A8" w:rsidR="001863D9" w:rsidRDefault="00510F4A" w:rsidP="00DB3190">
      <w:pPr>
        <w:pStyle w:val="Descripcin"/>
        <w:spacing w:after="0"/>
        <w:jc w:val="both"/>
        <w:rPr>
          <w:b/>
          <w:color w:val="auto"/>
          <w:sz w:val="22"/>
          <w:szCs w:val="22"/>
          <w:lang w:val="es-CO"/>
        </w:rPr>
      </w:pPr>
      <w:r w:rsidRPr="00423258">
        <w:rPr>
          <w:b/>
          <w:color w:val="auto"/>
          <w:sz w:val="22"/>
          <w:szCs w:val="22"/>
          <w:lang w:val="es-CO"/>
        </w:rPr>
        <w:t xml:space="preserve">Tabla </w:t>
      </w:r>
      <w:r w:rsidRPr="00423258">
        <w:rPr>
          <w:b/>
          <w:color w:val="auto"/>
          <w:sz w:val="22"/>
          <w:szCs w:val="22"/>
        </w:rPr>
        <w:fldChar w:fldCharType="begin"/>
      </w:r>
      <w:r w:rsidRPr="00423258">
        <w:rPr>
          <w:b/>
          <w:color w:val="auto"/>
          <w:sz w:val="22"/>
          <w:szCs w:val="22"/>
          <w:lang w:val="es-CO"/>
        </w:rPr>
        <w:instrText xml:space="preserve"> SEQ Tabla \* ARABIC </w:instrText>
      </w:r>
      <w:r w:rsidRPr="00423258">
        <w:rPr>
          <w:b/>
          <w:color w:val="auto"/>
          <w:sz w:val="22"/>
          <w:szCs w:val="22"/>
        </w:rPr>
        <w:fldChar w:fldCharType="separate"/>
      </w:r>
      <w:r w:rsidR="00045F70" w:rsidRPr="00423258">
        <w:rPr>
          <w:b/>
          <w:noProof/>
          <w:color w:val="auto"/>
          <w:sz w:val="22"/>
          <w:szCs w:val="22"/>
          <w:lang w:val="es-CO"/>
        </w:rPr>
        <w:t>5</w:t>
      </w:r>
      <w:r w:rsidRPr="00423258">
        <w:rPr>
          <w:b/>
          <w:color w:val="auto"/>
          <w:sz w:val="22"/>
          <w:szCs w:val="22"/>
        </w:rPr>
        <w:fldChar w:fldCharType="end"/>
      </w:r>
      <w:r w:rsidRPr="00423258">
        <w:rPr>
          <w:b/>
          <w:color w:val="auto"/>
          <w:sz w:val="22"/>
          <w:szCs w:val="22"/>
          <w:lang w:val="es-CO"/>
        </w:rPr>
        <w:t>.</w:t>
      </w:r>
      <w:r w:rsidRPr="00423258">
        <w:rPr>
          <w:color w:val="auto"/>
          <w:lang w:val="es-CO"/>
        </w:rPr>
        <w:t xml:space="preserve"> </w:t>
      </w:r>
      <w:r w:rsidRPr="00423258">
        <w:rPr>
          <w:b/>
          <w:color w:val="auto"/>
          <w:sz w:val="22"/>
          <w:szCs w:val="22"/>
          <w:lang w:val="es-CO"/>
        </w:rPr>
        <w:t>Presupuesto solicitado para 2021 en gasto de inversión</w:t>
      </w:r>
      <w:r w:rsidR="00423258">
        <w:rPr>
          <w:b/>
          <w:color w:val="auto"/>
          <w:sz w:val="22"/>
          <w:szCs w:val="22"/>
          <w:lang w:val="es-CO"/>
        </w:rPr>
        <w:t xml:space="preserve"> - </w:t>
      </w:r>
      <w:r w:rsidRPr="00BB119A">
        <w:rPr>
          <w:b/>
          <w:color w:val="auto"/>
          <w:sz w:val="22"/>
          <w:szCs w:val="22"/>
          <w:lang w:val="es-CO"/>
        </w:rPr>
        <w:t>Cifras en pesos corriente</w:t>
      </w:r>
      <w:r>
        <w:rPr>
          <w:b/>
          <w:color w:val="auto"/>
          <w:sz w:val="22"/>
          <w:szCs w:val="22"/>
          <w:lang w:val="es-CO"/>
        </w:rPr>
        <w:t>s</w:t>
      </w:r>
    </w:p>
    <w:tbl>
      <w:tblPr>
        <w:tblW w:w="5539" w:type="pct"/>
        <w:jc w:val="center"/>
        <w:tblCellMar>
          <w:left w:w="70" w:type="dxa"/>
          <w:right w:w="70" w:type="dxa"/>
        </w:tblCellMar>
        <w:tblLook w:val="04A0" w:firstRow="1" w:lastRow="0" w:firstColumn="1" w:lastColumn="0" w:noHBand="0" w:noVBand="1"/>
      </w:tblPr>
      <w:tblGrid>
        <w:gridCol w:w="3686"/>
        <w:gridCol w:w="1556"/>
        <w:gridCol w:w="1845"/>
        <w:gridCol w:w="1957"/>
        <w:gridCol w:w="1118"/>
      </w:tblGrid>
      <w:tr w:rsidR="00065678" w:rsidRPr="00D83860" w14:paraId="4557D1C4" w14:textId="77777777" w:rsidTr="00565A1F">
        <w:trPr>
          <w:trHeight w:val="690"/>
          <w:tblHeader/>
          <w:jc w:val="center"/>
        </w:trPr>
        <w:tc>
          <w:tcPr>
            <w:tcW w:w="2579" w:type="pct"/>
            <w:gridSpan w:val="2"/>
            <w:tcBorders>
              <w:top w:val="single" w:sz="4" w:space="0" w:color="BFBFBF"/>
              <w:left w:val="single" w:sz="4" w:space="0" w:color="BFBFBF"/>
              <w:bottom w:val="single" w:sz="4" w:space="0" w:color="BFBFBF"/>
              <w:right w:val="single" w:sz="4" w:space="0" w:color="BFBFBF"/>
            </w:tcBorders>
            <w:shd w:val="clear" w:color="000000" w:fill="002060"/>
            <w:vAlign w:val="center"/>
            <w:hideMark/>
          </w:tcPr>
          <w:p w14:paraId="4C8D8568" w14:textId="77777777"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Proyecto</w:t>
            </w:r>
          </w:p>
        </w:tc>
        <w:tc>
          <w:tcPr>
            <w:tcW w:w="908" w:type="pct"/>
            <w:vMerge w:val="restart"/>
            <w:tcBorders>
              <w:top w:val="single" w:sz="4" w:space="0" w:color="BFBFBF"/>
              <w:left w:val="single" w:sz="4" w:space="0" w:color="BFBFBF"/>
              <w:bottom w:val="single" w:sz="4" w:space="0" w:color="BFBFBF"/>
              <w:right w:val="single" w:sz="4" w:space="0" w:color="BFBFBF"/>
            </w:tcBorders>
            <w:shd w:val="clear" w:color="000000" w:fill="002060"/>
            <w:vAlign w:val="center"/>
            <w:hideMark/>
          </w:tcPr>
          <w:p w14:paraId="6C43B8E6" w14:textId="77777777"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Apropiación 2020</w:t>
            </w:r>
          </w:p>
        </w:tc>
        <w:tc>
          <w:tcPr>
            <w:tcW w:w="963" w:type="pct"/>
            <w:vMerge w:val="restart"/>
            <w:tcBorders>
              <w:top w:val="single" w:sz="4" w:space="0" w:color="BFBFBF"/>
              <w:left w:val="single" w:sz="4" w:space="0" w:color="BFBFBF"/>
              <w:bottom w:val="single" w:sz="4" w:space="0" w:color="BFBFBF"/>
              <w:right w:val="nil"/>
            </w:tcBorders>
            <w:shd w:val="clear" w:color="000000" w:fill="002060"/>
            <w:vAlign w:val="center"/>
            <w:hideMark/>
          </w:tcPr>
          <w:p w14:paraId="7D1952C0" w14:textId="77777777"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Solicitud 2021</w:t>
            </w:r>
          </w:p>
        </w:tc>
        <w:tc>
          <w:tcPr>
            <w:tcW w:w="550" w:type="pct"/>
            <w:vMerge w:val="restart"/>
            <w:tcBorders>
              <w:top w:val="single" w:sz="4" w:space="0" w:color="BFBFBF"/>
              <w:left w:val="single" w:sz="4" w:space="0" w:color="BFBFBF"/>
              <w:bottom w:val="single" w:sz="4" w:space="0" w:color="BFBFBF"/>
              <w:right w:val="nil"/>
            </w:tcBorders>
            <w:shd w:val="clear" w:color="000000" w:fill="002060"/>
            <w:vAlign w:val="center"/>
            <w:hideMark/>
          </w:tcPr>
          <w:p w14:paraId="4F88920D" w14:textId="77777777"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Variación % 2020 -2021</w:t>
            </w:r>
          </w:p>
        </w:tc>
      </w:tr>
      <w:tr w:rsidR="00065678" w:rsidRPr="00D83860" w14:paraId="435BF26C" w14:textId="77777777" w:rsidTr="00565A1F">
        <w:trPr>
          <w:trHeight w:val="330"/>
          <w:tblHeader/>
          <w:jc w:val="center"/>
        </w:trPr>
        <w:tc>
          <w:tcPr>
            <w:tcW w:w="1814" w:type="pct"/>
            <w:tcBorders>
              <w:top w:val="nil"/>
              <w:left w:val="single" w:sz="4" w:space="0" w:color="BFBFBF"/>
              <w:bottom w:val="single" w:sz="4" w:space="0" w:color="BFBFBF"/>
              <w:right w:val="single" w:sz="4" w:space="0" w:color="BFBFBF"/>
            </w:tcBorders>
            <w:shd w:val="clear" w:color="000000" w:fill="E7E6E6"/>
            <w:vAlign w:val="center"/>
            <w:hideMark/>
          </w:tcPr>
          <w:p w14:paraId="55172C43" w14:textId="77777777" w:rsidR="00D83860" w:rsidRPr="00D83860" w:rsidRDefault="00D83860" w:rsidP="00B17E11">
            <w:pPr>
              <w:jc w:val="center"/>
              <w:rPr>
                <w:rFonts w:eastAsia="Times New Roman" w:cs="Calibri"/>
                <w:color w:val="000000"/>
                <w:sz w:val="22"/>
                <w:szCs w:val="22"/>
                <w:lang w:val="es-CO" w:eastAsia="es-CO"/>
              </w:rPr>
            </w:pPr>
            <w:r w:rsidRPr="00D83860">
              <w:rPr>
                <w:rFonts w:eastAsia="Times New Roman" w:cs="Calibri"/>
                <w:color w:val="000000"/>
                <w:sz w:val="22"/>
                <w:szCs w:val="22"/>
                <w:lang w:val="es-CO" w:eastAsia="es-CO"/>
              </w:rPr>
              <w:t>Nombre</w:t>
            </w:r>
          </w:p>
        </w:tc>
        <w:tc>
          <w:tcPr>
            <w:tcW w:w="766" w:type="pct"/>
            <w:tcBorders>
              <w:top w:val="nil"/>
              <w:left w:val="nil"/>
              <w:bottom w:val="single" w:sz="4" w:space="0" w:color="BFBFBF"/>
              <w:right w:val="single" w:sz="4" w:space="0" w:color="BFBFBF"/>
            </w:tcBorders>
            <w:shd w:val="clear" w:color="000000" w:fill="E7E6E6"/>
            <w:vAlign w:val="center"/>
            <w:hideMark/>
          </w:tcPr>
          <w:p w14:paraId="7509DAEE" w14:textId="77777777" w:rsidR="00D83860" w:rsidRPr="00D83860" w:rsidRDefault="00D83860" w:rsidP="00B17E11">
            <w:pPr>
              <w:jc w:val="center"/>
              <w:rPr>
                <w:rFonts w:eastAsia="Times New Roman" w:cs="Calibri"/>
                <w:color w:val="000000"/>
                <w:sz w:val="22"/>
                <w:szCs w:val="22"/>
                <w:lang w:val="es-CO" w:eastAsia="es-CO"/>
              </w:rPr>
            </w:pPr>
            <w:r w:rsidRPr="00D83860">
              <w:rPr>
                <w:rFonts w:eastAsia="Times New Roman" w:cs="Calibri"/>
                <w:color w:val="000000"/>
                <w:sz w:val="22"/>
                <w:szCs w:val="22"/>
                <w:lang w:val="es-CO" w:eastAsia="es-CO"/>
              </w:rPr>
              <w:t>Alias</w:t>
            </w:r>
          </w:p>
        </w:tc>
        <w:tc>
          <w:tcPr>
            <w:tcW w:w="908" w:type="pct"/>
            <w:vMerge/>
            <w:tcBorders>
              <w:top w:val="single" w:sz="4" w:space="0" w:color="BFBFBF"/>
              <w:left w:val="single" w:sz="4" w:space="0" w:color="BFBFBF"/>
              <w:bottom w:val="single" w:sz="4" w:space="0" w:color="BFBFBF"/>
              <w:right w:val="single" w:sz="4" w:space="0" w:color="BFBFBF"/>
            </w:tcBorders>
            <w:vAlign w:val="center"/>
            <w:hideMark/>
          </w:tcPr>
          <w:p w14:paraId="1620DF70" w14:textId="77777777" w:rsidR="00D83860" w:rsidRPr="00D83860" w:rsidRDefault="00D83860" w:rsidP="00B17E11">
            <w:pPr>
              <w:rPr>
                <w:rFonts w:eastAsia="Times New Roman" w:cs="Calibri"/>
                <w:b/>
                <w:bCs/>
                <w:color w:val="FFFFFF"/>
                <w:sz w:val="22"/>
                <w:szCs w:val="22"/>
                <w:lang w:val="es-CO" w:eastAsia="es-CO"/>
              </w:rPr>
            </w:pPr>
          </w:p>
        </w:tc>
        <w:tc>
          <w:tcPr>
            <w:tcW w:w="963" w:type="pct"/>
            <w:vMerge/>
            <w:tcBorders>
              <w:top w:val="single" w:sz="4" w:space="0" w:color="BFBFBF"/>
              <w:left w:val="single" w:sz="4" w:space="0" w:color="BFBFBF"/>
              <w:bottom w:val="single" w:sz="4" w:space="0" w:color="BFBFBF"/>
              <w:right w:val="nil"/>
            </w:tcBorders>
            <w:vAlign w:val="center"/>
            <w:hideMark/>
          </w:tcPr>
          <w:p w14:paraId="062892A6" w14:textId="77777777" w:rsidR="00D83860" w:rsidRPr="00D83860" w:rsidRDefault="00D83860" w:rsidP="00B17E11">
            <w:pPr>
              <w:rPr>
                <w:rFonts w:eastAsia="Times New Roman" w:cs="Calibri"/>
                <w:b/>
                <w:bCs/>
                <w:color w:val="FFFFFF"/>
                <w:sz w:val="22"/>
                <w:szCs w:val="22"/>
                <w:lang w:val="es-CO" w:eastAsia="es-CO"/>
              </w:rPr>
            </w:pPr>
          </w:p>
        </w:tc>
        <w:tc>
          <w:tcPr>
            <w:tcW w:w="550" w:type="pct"/>
            <w:vMerge/>
            <w:tcBorders>
              <w:top w:val="single" w:sz="4" w:space="0" w:color="BFBFBF"/>
              <w:left w:val="single" w:sz="4" w:space="0" w:color="BFBFBF"/>
              <w:bottom w:val="single" w:sz="4" w:space="0" w:color="BFBFBF"/>
              <w:right w:val="nil"/>
            </w:tcBorders>
            <w:vAlign w:val="center"/>
            <w:hideMark/>
          </w:tcPr>
          <w:p w14:paraId="5D8E9E4E" w14:textId="77777777" w:rsidR="00D83860" w:rsidRPr="00D83860" w:rsidRDefault="00D83860" w:rsidP="00B17E11">
            <w:pPr>
              <w:rPr>
                <w:rFonts w:eastAsia="Times New Roman" w:cs="Calibri"/>
                <w:b/>
                <w:bCs/>
                <w:color w:val="FFFFFF"/>
                <w:sz w:val="22"/>
                <w:szCs w:val="22"/>
                <w:lang w:val="es-CO" w:eastAsia="es-CO"/>
              </w:rPr>
            </w:pPr>
          </w:p>
        </w:tc>
      </w:tr>
      <w:tr w:rsidR="00114590" w:rsidRPr="00D83860" w14:paraId="02C47126" w14:textId="77777777" w:rsidTr="00A92A5A">
        <w:trPr>
          <w:trHeight w:val="571"/>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396FFC24"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Adecuación, dotación y puesta en funcionamiento de las sedes de la JEP</w:t>
            </w:r>
          </w:p>
        </w:tc>
        <w:tc>
          <w:tcPr>
            <w:tcW w:w="766" w:type="pct"/>
            <w:tcBorders>
              <w:top w:val="nil"/>
              <w:left w:val="nil"/>
              <w:bottom w:val="single" w:sz="4" w:space="0" w:color="BFBFBF"/>
              <w:right w:val="single" w:sz="4" w:space="0" w:color="BFBFBF"/>
            </w:tcBorders>
            <w:shd w:val="clear" w:color="000000" w:fill="FFFFFF"/>
            <w:vAlign w:val="center"/>
            <w:hideMark/>
          </w:tcPr>
          <w:p w14:paraId="1828C1EE"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Sedes</w:t>
            </w:r>
          </w:p>
        </w:tc>
        <w:tc>
          <w:tcPr>
            <w:tcW w:w="908" w:type="pct"/>
            <w:tcBorders>
              <w:top w:val="nil"/>
              <w:left w:val="nil"/>
              <w:bottom w:val="single" w:sz="4" w:space="0" w:color="BFBFBF"/>
              <w:right w:val="single" w:sz="4" w:space="0" w:color="BFBFBF"/>
            </w:tcBorders>
            <w:shd w:val="clear" w:color="000000" w:fill="FFFFFF"/>
            <w:vAlign w:val="center"/>
            <w:hideMark/>
          </w:tcPr>
          <w:p w14:paraId="6EA47A8F" w14:textId="3F285FAF"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$543.398.573</w:t>
            </w:r>
          </w:p>
        </w:tc>
        <w:tc>
          <w:tcPr>
            <w:tcW w:w="963" w:type="pct"/>
            <w:tcBorders>
              <w:top w:val="nil"/>
              <w:left w:val="nil"/>
              <w:bottom w:val="single" w:sz="4" w:space="0" w:color="BFBFBF"/>
              <w:right w:val="single" w:sz="4" w:space="0" w:color="BFBFBF"/>
            </w:tcBorders>
            <w:shd w:val="clear" w:color="000000" w:fill="FFFFFF"/>
            <w:vAlign w:val="center"/>
            <w:hideMark/>
          </w:tcPr>
          <w:p w14:paraId="36FEBB82" w14:textId="5CC03E78"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$515.346.664</w:t>
            </w:r>
          </w:p>
        </w:tc>
        <w:tc>
          <w:tcPr>
            <w:tcW w:w="550" w:type="pct"/>
            <w:tcBorders>
              <w:top w:val="nil"/>
              <w:left w:val="nil"/>
              <w:bottom w:val="single" w:sz="4" w:space="0" w:color="BFBFBF"/>
              <w:right w:val="single" w:sz="4" w:space="0" w:color="BFBFBF"/>
            </w:tcBorders>
            <w:shd w:val="clear" w:color="000000" w:fill="FFFFFF"/>
            <w:vAlign w:val="center"/>
            <w:hideMark/>
          </w:tcPr>
          <w:p w14:paraId="656C31EE"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-5,4%</w:t>
            </w:r>
          </w:p>
        </w:tc>
      </w:tr>
      <w:tr w:rsidR="00114590" w:rsidRPr="00D83860" w14:paraId="5605B8CF" w14:textId="77777777" w:rsidTr="00A92A5A">
        <w:trPr>
          <w:trHeight w:val="976"/>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453571AE"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Desarrollo e implementación de herramientas de tecnología e información en la Jurisdicción Especial para la Paz Nacional</w:t>
            </w:r>
          </w:p>
        </w:tc>
        <w:tc>
          <w:tcPr>
            <w:tcW w:w="766" w:type="pct"/>
            <w:tcBorders>
              <w:top w:val="nil"/>
              <w:left w:val="nil"/>
              <w:bottom w:val="single" w:sz="4" w:space="0" w:color="BFBFBF"/>
              <w:right w:val="single" w:sz="4" w:space="0" w:color="BFBFBF"/>
            </w:tcBorders>
            <w:shd w:val="clear" w:color="000000" w:fill="FFFFFF"/>
            <w:vAlign w:val="center"/>
            <w:hideMark/>
          </w:tcPr>
          <w:p w14:paraId="2E5706DE"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TI</w:t>
            </w:r>
          </w:p>
        </w:tc>
        <w:tc>
          <w:tcPr>
            <w:tcW w:w="908" w:type="pct"/>
            <w:tcBorders>
              <w:top w:val="nil"/>
              <w:left w:val="nil"/>
              <w:bottom w:val="single" w:sz="4" w:space="0" w:color="BFBFBF"/>
              <w:right w:val="single" w:sz="4" w:space="0" w:color="BFBFBF"/>
            </w:tcBorders>
            <w:shd w:val="clear" w:color="000000" w:fill="FFFFFF"/>
            <w:vAlign w:val="center"/>
            <w:hideMark/>
          </w:tcPr>
          <w:p w14:paraId="5BAF3748" w14:textId="0AEBA39B"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$11.806.029.000</w:t>
            </w:r>
          </w:p>
        </w:tc>
        <w:tc>
          <w:tcPr>
            <w:tcW w:w="963" w:type="pct"/>
            <w:tcBorders>
              <w:top w:val="nil"/>
              <w:left w:val="nil"/>
              <w:bottom w:val="single" w:sz="4" w:space="0" w:color="BFBFBF"/>
              <w:right w:val="single" w:sz="4" w:space="0" w:color="BFBFBF"/>
            </w:tcBorders>
            <w:shd w:val="clear" w:color="000000" w:fill="FFFFFF"/>
            <w:vAlign w:val="center"/>
            <w:hideMark/>
          </w:tcPr>
          <w:p w14:paraId="6BE8ADAE" w14:textId="68460CAB"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$13.570.016.526</w:t>
            </w:r>
          </w:p>
        </w:tc>
        <w:tc>
          <w:tcPr>
            <w:tcW w:w="550" w:type="pct"/>
            <w:tcBorders>
              <w:top w:val="nil"/>
              <w:left w:val="nil"/>
              <w:bottom w:val="single" w:sz="4" w:space="0" w:color="BFBFBF"/>
              <w:right w:val="single" w:sz="4" w:space="0" w:color="BFBFBF"/>
            </w:tcBorders>
            <w:shd w:val="clear" w:color="000000" w:fill="FFFFFF"/>
            <w:vAlign w:val="center"/>
            <w:hideMark/>
          </w:tcPr>
          <w:p w14:paraId="585BD4F6"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13,0%</w:t>
            </w:r>
          </w:p>
        </w:tc>
      </w:tr>
      <w:tr w:rsidR="00114590" w:rsidRPr="00D83860" w14:paraId="566E5B7A" w14:textId="77777777" w:rsidTr="00A92A5A">
        <w:trPr>
          <w:trHeight w:val="595"/>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348FB611"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Difusión estructura, funciones y logros de la JEP nacional</w:t>
            </w:r>
          </w:p>
        </w:tc>
        <w:tc>
          <w:tcPr>
            <w:tcW w:w="766" w:type="pct"/>
            <w:tcBorders>
              <w:top w:val="nil"/>
              <w:left w:val="nil"/>
              <w:bottom w:val="single" w:sz="4" w:space="0" w:color="BFBFBF"/>
              <w:right w:val="single" w:sz="4" w:space="0" w:color="BFBFBF"/>
            </w:tcBorders>
            <w:shd w:val="clear" w:color="000000" w:fill="FFFFFF"/>
            <w:vAlign w:val="center"/>
            <w:hideMark/>
          </w:tcPr>
          <w:p w14:paraId="08486DFD"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Difusión</w:t>
            </w:r>
          </w:p>
        </w:tc>
        <w:tc>
          <w:tcPr>
            <w:tcW w:w="908" w:type="pct"/>
            <w:tcBorders>
              <w:top w:val="nil"/>
              <w:left w:val="nil"/>
              <w:bottom w:val="single" w:sz="4" w:space="0" w:color="BFBFBF"/>
              <w:right w:val="single" w:sz="4" w:space="0" w:color="BFBFBF"/>
            </w:tcBorders>
            <w:shd w:val="clear" w:color="000000" w:fill="FFFFFF"/>
            <w:vAlign w:val="center"/>
            <w:hideMark/>
          </w:tcPr>
          <w:p w14:paraId="5DB04525" w14:textId="0CF01B6C"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$2.198.246.455</w:t>
            </w:r>
          </w:p>
        </w:tc>
        <w:tc>
          <w:tcPr>
            <w:tcW w:w="963" w:type="pct"/>
            <w:tcBorders>
              <w:top w:val="nil"/>
              <w:left w:val="nil"/>
              <w:bottom w:val="single" w:sz="4" w:space="0" w:color="BFBFBF"/>
              <w:right w:val="single" w:sz="4" w:space="0" w:color="BFBFBF"/>
            </w:tcBorders>
            <w:shd w:val="clear" w:color="000000" w:fill="FFFFFF"/>
            <w:vAlign w:val="center"/>
            <w:hideMark/>
          </w:tcPr>
          <w:p w14:paraId="4E598C29" w14:textId="6260F3C8"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$2.704.181.768</w:t>
            </w:r>
          </w:p>
        </w:tc>
        <w:tc>
          <w:tcPr>
            <w:tcW w:w="550" w:type="pct"/>
            <w:tcBorders>
              <w:top w:val="nil"/>
              <w:left w:val="nil"/>
              <w:bottom w:val="single" w:sz="4" w:space="0" w:color="BFBFBF"/>
              <w:right w:val="single" w:sz="4" w:space="0" w:color="BFBFBF"/>
            </w:tcBorders>
            <w:shd w:val="clear" w:color="000000" w:fill="FFFFFF"/>
            <w:vAlign w:val="center"/>
            <w:hideMark/>
          </w:tcPr>
          <w:p w14:paraId="5C62D410"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18,7%</w:t>
            </w:r>
          </w:p>
        </w:tc>
      </w:tr>
      <w:tr w:rsidR="00114590" w:rsidRPr="00D83860" w14:paraId="511904AC" w14:textId="77777777" w:rsidTr="00A92A5A">
        <w:trPr>
          <w:trHeight w:val="990"/>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62B84636"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Implementación de medidas de protección a la vida, integridad y seguridad personal de los sujetos de protección de la JEP</w:t>
            </w:r>
          </w:p>
        </w:tc>
        <w:tc>
          <w:tcPr>
            <w:tcW w:w="766" w:type="pct"/>
            <w:tcBorders>
              <w:top w:val="nil"/>
              <w:left w:val="nil"/>
              <w:bottom w:val="single" w:sz="4" w:space="0" w:color="BFBFBF"/>
              <w:right w:val="single" w:sz="4" w:space="0" w:color="BFBFBF"/>
            </w:tcBorders>
            <w:shd w:val="clear" w:color="000000" w:fill="FFFFFF"/>
            <w:vAlign w:val="center"/>
            <w:hideMark/>
          </w:tcPr>
          <w:p w14:paraId="526A7F3A"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Protección</w:t>
            </w:r>
          </w:p>
        </w:tc>
        <w:tc>
          <w:tcPr>
            <w:tcW w:w="908" w:type="pct"/>
            <w:tcBorders>
              <w:top w:val="nil"/>
              <w:left w:val="nil"/>
              <w:bottom w:val="single" w:sz="4" w:space="0" w:color="BFBFBF"/>
              <w:right w:val="single" w:sz="4" w:space="0" w:color="BFBFBF"/>
            </w:tcBorders>
            <w:shd w:val="clear" w:color="000000" w:fill="FFFFFF"/>
            <w:vAlign w:val="center"/>
            <w:hideMark/>
          </w:tcPr>
          <w:p w14:paraId="5A9FA657" w14:textId="7258B4DB"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$28.995.050.699</w:t>
            </w:r>
          </w:p>
        </w:tc>
        <w:tc>
          <w:tcPr>
            <w:tcW w:w="963" w:type="pct"/>
            <w:tcBorders>
              <w:top w:val="nil"/>
              <w:left w:val="nil"/>
              <w:bottom w:val="single" w:sz="4" w:space="0" w:color="BFBFBF"/>
              <w:right w:val="single" w:sz="4" w:space="0" w:color="BFBFBF"/>
            </w:tcBorders>
            <w:shd w:val="clear" w:color="000000" w:fill="FFFFFF"/>
            <w:vAlign w:val="center"/>
            <w:hideMark/>
          </w:tcPr>
          <w:p w14:paraId="39BD4261" w14:textId="257FE120" w:rsidR="00D83860" w:rsidRPr="00D83860" w:rsidRDefault="00B66160" w:rsidP="00B17E11">
            <w:pPr>
              <w:ind w:firstLineChars="100" w:firstLine="220"/>
              <w:jc w:val="right"/>
              <w:rPr>
                <w:rFonts w:eastAsia="Times New Roman" w:cs="Calibri"/>
                <w:color w:val="000000"/>
                <w:sz w:val="22"/>
                <w:szCs w:val="22"/>
                <w:lang w:val="es-CO" w:eastAsia="es-CO"/>
              </w:rPr>
            </w:pPr>
            <w:r>
              <w:rPr>
                <w:rFonts w:eastAsia="Times New Roman" w:cs="Calibri"/>
                <w:color w:val="000000"/>
                <w:sz w:val="22"/>
                <w:szCs w:val="22"/>
                <w:lang w:val="es-CO" w:eastAsia="es-CO"/>
              </w:rPr>
              <w:t>$67.253.58</w:t>
            </w:r>
            <w:r w:rsidR="00D83860" w:rsidRPr="00D83860">
              <w:rPr>
                <w:rFonts w:eastAsia="Times New Roman" w:cs="Calibri"/>
                <w:color w:val="000000"/>
                <w:sz w:val="22"/>
                <w:szCs w:val="22"/>
                <w:lang w:val="es-CO" w:eastAsia="es-CO"/>
              </w:rPr>
              <w:t>2.</w:t>
            </w:r>
            <w:r>
              <w:rPr>
                <w:rFonts w:eastAsia="Times New Roman" w:cs="Calibri"/>
                <w:color w:val="000000"/>
                <w:sz w:val="22"/>
                <w:szCs w:val="22"/>
                <w:lang w:val="es-CO" w:eastAsia="es-CO"/>
              </w:rPr>
              <w:t>422</w:t>
            </w:r>
          </w:p>
        </w:tc>
        <w:tc>
          <w:tcPr>
            <w:tcW w:w="550" w:type="pct"/>
            <w:tcBorders>
              <w:top w:val="nil"/>
              <w:left w:val="nil"/>
              <w:bottom w:val="single" w:sz="4" w:space="0" w:color="BFBFBF"/>
              <w:right w:val="single" w:sz="4" w:space="0" w:color="BFBFBF"/>
            </w:tcBorders>
            <w:shd w:val="clear" w:color="000000" w:fill="FFFFFF"/>
            <w:vAlign w:val="center"/>
            <w:hideMark/>
          </w:tcPr>
          <w:p w14:paraId="2CA856DC"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56,9%</w:t>
            </w:r>
          </w:p>
        </w:tc>
      </w:tr>
      <w:tr w:rsidR="00114590" w:rsidRPr="00D83860" w14:paraId="6063EB6D" w14:textId="77777777" w:rsidTr="00BF1F55">
        <w:trPr>
          <w:trHeight w:val="1243"/>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47D510A7"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Implementación del Sistema Integral de Verdad Justicia Reparación y Garantías de No Repetición en el componente de justicia transicional y restaurativa con enfoques de género y diferenciales</w:t>
            </w:r>
          </w:p>
        </w:tc>
        <w:tc>
          <w:tcPr>
            <w:tcW w:w="766" w:type="pct"/>
            <w:tcBorders>
              <w:top w:val="nil"/>
              <w:left w:val="nil"/>
              <w:bottom w:val="single" w:sz="4" w:space="0" w:color="BFBFBF"/>
              <w:right w:val="single" w:sz="4" w:space="0" w:color="BFBFBF"/>
            </w:tcBorders>
            <w:shd w:val="clear" w:color="000000" w:fill="FFFFFF"/>
            <w:vAlign w:val="center"/>
            <w:hideMark/>
          </w:tcPr>
          <w:p w14:paraId="53ECAC29"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Justicia</w:t>
            </w:r>
          </w:p>
        </w:tc>
        <w:tc>
          <w:tcPr>
            <w:tcW w:w="908" w:type="pct"/>
            <w:tcBorders>
              <w:top w:val="nil"/>
              <w:left w:val="nil"/>
              <w:bottom w:val="single" w:sz="4" w:space="0" w:color="BFBFBF"/>
              <w:right w:val="single" w:sz="4" w:space="0" w:color="BFBFBF"/>
            </w:tcBorders>
            <w:shd w:val="clear" w:color="000000" w:fill="FFFFFF"/>
            <w:vAlign w:val="center"/>
            <w:hideMark/>
          </w:tcPr>
          <w:p w14:paraId="39958466" w14:textId="501F1F5B"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$66.111.773.456</w:t>
            </w:r>
          </w:p>
        </w:tc>
        <w:tc>
          <w:tcPr>
            <w:tcW w:w="963" w:type="pct"/>
            <w:tcBorders>
              <w:top w:val="nil"/>
              <w:left w:val="nil"/>
              <w:bottom w:val="single" w:sz="4" w:space="0" w:color="BFBFBF"/>
              <w:right w:val="single" w:sz="4" w:space="0" w:color="BFBFBF"/>
            </w:tcBorders>
            <w:shd w:val="clear" w:color="000000" w:fill="FFFFFF"/>
            <w:vAlign w:val="center"/>
            <w:hideMark/>
          </w:tcPr>
          <w:p w14:paraId="38051F49" w14:textId="73D5C981"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$106.091.432.556</w:t>
            </w:r>
          </w:p>
        </w:tc>
        <w:tc>
          <w:tcPr>
            <w:tcW w:w="550" w:type="pct"/>
            <w:tcBorders>
              <w:top w:val="nil"/>
              <w:left w:val="nil"/>
              <w:bottom w:val="single" w:sz="4" w:space="0" w:color="BFBFBF"/>
              <w:right w:val="single" w:sz="4" w:space="0" w:color="BFBFBF"/>
            </w:tcBorders>
            <w:shd w:val="clear" w:color="000000" w:fill="FFFFFF"/>
            <w:vAlign w:val="center"/>
            <w:hideMark/>
          </w:tcPr>
          <w:p w14:paraId="378E1261"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37,7%</w:t>
            </w:r>
          </w:p>
        </w:tc>
      </w:tr>
      <w:tr w:rsidR="00114590" w:rsidRPr="00D83860" w14:paraId="511D3C01" w14:textId="77777777" w:rsidTr="00A92A5A">
        <w:trPr>
          <w:trHeight w:val="660"/>
          <w:jc w:val="center"/>
        </w:trPr>
        <w:tc>
          <w:tcPr>
            <w:tcW w:w="1814" w:type="pct"/>
            <w:tcBorders>
              <w:top w:val="nil"/>
              <w:left w:val="single" w:sz="4" w:space="0" w:color="BFBFBF"/>
              <w:bottom w:val="single" w:sz="4" w:space="0" w:color="BFBFBF"/>
              <w:right w:val="single" w:sz="4" w:space="0" w:color="BFBFBF"/>
            </w:tcBorders>
            <w:shd w:val="clear" w:color="000000" w:fill="FFFFFF"/>
            <w:vAlign w:val="center"/>
            <w:hideMark/>
          </w:tcPr>
          <w:p w14:paraId="744BACC8"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Mejoramiento de la capacidad de gestión institucional de la JEP Bogotá</w:t>
            </w:r>
          </w:p>
        </w:tc>
        <w:tc>
          <w:tcPr>
            <w:tcW w:w="766" w:type="pct"/>
            <w:tcBorders>
              <w:top w:val="nil"/>
              <w:left w:val="nil"/>
              <w:bottom w:val="single" w:sz="4" w:space="0" w:color="BFBFBF"/>
              <w:right w:val="single" w:sz="4" w:space="0" w:color="BFBFBF"/>
            </w:tcBorders>
            <w:shd w:val="clear" w:color="000000" w:fill="FFFFFF"/>
            <w:vAlign w:val="center"/>
            <w:hideMark/>
          </w:tcPr>
          <w:p w14:paraId="16305BFC" w14:textId="77777777" w:rsidR="00D83860" w:rsidRPr="00D83860" w:rsidRDefault="00D83860" w:rsidP="00B17E11">
            <w:pPr>
              <w:jc w:val="right"/>
              <w:rPr>
                <w:rFonts w:eastAsia="Times New Roman" w:cs="Calibri"/>
                <w:color w:val="000000"/>
                <w:sz w:val="20"/>
                <w:szCs w:val="20"/>
                <w:lang w:val="es-CO" w:eastAsia="es-CO"/>
              </w:rPr>
            </w:pPr>
            <w:r w:rsidRPr="00D83860">
              <w:rPr>
                <w:rFonts w:eastAsia="Times New Roman" w:cs="Calibri"/>
                <w:color w:val="000000"/>
                <w:sz w:val="20"/>
                <w:szCs w:val="20"/>
                <w:lang w:val="es-CO" w:eastAsia="es-CO"/>
              </w:rPr>
              <w:t>Fortalecimiento</w:t>
            </w:r>
          </w:p>
        </w:tc>
        <w:tc>
          <w:tcPr>
            <w:tcW w:w="908" w:type="pct"/>
            <w:tcBorders>
              <w:top w:val="nil"/>
              <w:left w:val="nil"/>
              <w:bottom w:val="single" w:sz="4" w:space="0" w:color="BFBFBF"/>
              <w:right w:val="single" w:sz="4" w:space="0" w:color="BFBFBF"/>
            </w:tcBorders>
            <w:shd w:val="clear" w:color="000000" w:fill="FFFFFF"/>
            <w:vAlign w:val="center"/>
            <w:hideMark/>
          </w:tcPr>
          <w:p w14:paraId="5845989B" w14:textId="5502D22E"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$5.482.297.000</w:t>
            </w:r>
          </w:p>
        </w:tc>
        <w:tc>
          <w:tcPr>
            <w:tcW w:w="963" w:type="pct"/>
            <w:tcBorders>
              <w:top w:val="nil"/>
              <w:left w:val="nil"/>
              <w:bottom w:val="single" w:sz="4" w:space="0" w:color="BFBFBF"/>
              <w:right w:val="single" w:sz="4" w:space="0" w:color="BFBFBF"/>
            </w:tcBorders>
            <w:shd w:val="clear" w:color="000000" w:fill="FFFFFF"/>
            <w:vAlign w:val="center"/>
            <w:hideMark/>
          </w:tcPr>
          <w:p w14:paraId="00FC45C8" w14:textId="6BA04A1B"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$8.952.790.260</w:t>
            </w:r>
          </w:p>
        </w:tc>
        <w:tc>
          <w:tcPr>
            <w:tcW w:w="550" w:type="pct"/>
            <w:tcBorders>
              <w:top w:val="nil"/>
              <w:left w:val="nil"/>
              <w:bottom w:val="single" w:sz="4" w:space="0" w:color="BFBFBF"/>
              <w:right w:val="single" w:sz="4" w:space="0" w:color="BFBFBF"/>
            </w:tcBorders>
            <w:shd w:val="clear" w:color="000000" w:fill="FFFFFF"/>
            <w:vAlign w:val="center"/>
            <w:hideMark/>
          </w:tcPr>
          <w:p w14:paraId="690DCA78" w14:textId="77777777" w:rsidR="00D83860" w:rsidRPr="00D83860" w:rsidRDefault="00D83860" w:rsidP="00B17E11">
            <w:pPr>
              <w:ind w:firstLineChars="100" w:firstLine="220"/>
              <w:jc w:val="right"/>
              <w:rPr>
                <w:rFonts w:eastAsia="Times New Roman" w:cs="Calibri"/>
                <w:color w:val="000000"/>
                <w:sz w:val="22"/>
                <w:szCs w:val="22"/>
                <w:lang w:val="es-CO" w:eastAsia="es-CO"/>
              </w:rPr>
            </w:pPr>
            <w:r w:rsidRPr="00D83860">
              <w:rPr>
                <w:rFonts w:eastAsia="Times New Roman" w:cs="Calibri"/>
                <w:color w:val="000000"/>
                <w:sz w:val="22"/>
                <w:szCs w:val="22"/>
                <w:lang w:val="es-CO" w:eastAsia="es-CO"/>
              </w:rPr>
              <w:t>38,8%</w:t>
            </w:r>
          </w:p>
        </w:tc>
      </w:tr>
      <w:tr w:rsidR="00065678" w:rsidRPr="00D83860" w14:paraId="7D0E7383" w14:textId="77777777" w:rsidTr="00A92A5A">
        <w:trPr>
          <w:trHeight w:val="345"/>
          <w:jc w:val="center"/>
        </w:trPr>
        <w:tc>
          <w:tcPr>
            <w:tcW w:w="2579" w:type="pct"/>
            <w:gridSpan w:val="2"/>
            <w:tcBorders>
              <w:top w:val="nil"/>
              <w:left w:val="nil"/>
              <w:bottom w:val="nil"/>
              <w:right w:val="single" w:sz="4" w:space="0" w:color="BFBFBF"/>
            </w:tcBorders>
            <w:shd w:val="clear" w:color="000000" w:fill="002060"/>
            <w:vAlign w:val="center"/>
            <w:hideMark/>
          </w:tcPr>
          <w:p w14:paraId="6993D292" w14:textId="77777777" w:rsidR="00D83860" w:rsidRPr="00D83860" w:rsidRDefault="00D83860" w:rsidP="00B17E11">
            <w:pPr>
              <w:jc w:val="right"/>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Gasto de inversión</w:t>
            </w:r>
          </w:p>
        </w:tc>
        <w:tc>
          <w:tcPr>
            <w:tcW w:w="908" w:type="pct"/>
            <w:tcBorders>
              <w:top w:val="nil"/>
              <w:left w:val="nil"/>
              <w:bottom w:val="single" w:sz="4" w:space="0" w:color="BFBFBF"/>
              <w:right w:val="single" w:sz="4" w:space="0" w:color="BFBFBF"/>
            </w:tcBorders>
            <w:shd w:val="clear" w:color="000000" w:fill="002060"/>
            <w:vAlign w:val="center"/>
            <w:hideMark/>
          </w:tcPr>
          <w:p w14:paraId="67020D91" w14:textId="00587655"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$115.136.795.183</w:t>
            </w:r>
          </w:p>
        </w:tc>
        <w:tc>
          <w:tcPr>
            <w:tcW w:w="963" w:type="pct"/>
            <w:tcBorders>
              <w:top w:val="nil"/>
              <w:left w:val="nil"/>
              <w:bottom w:val="single" w:sz="4" w:space="0" w:color="BFBFBF"/>
              <w:right w:val="single" w:sz="4" w:space="0" w:color="BFBFBF"/>
            </w:tcBorders>
            <w:shd w:val="clear" w:color="000000" w:fill="002060"/>
            <w:vAlign w:val="center"/>
            <w:hideMark/>
          </w:tcPr>
          <w:p w14:paraId="54CF6E68" w14:textId="66336B87" w:rsidR="00D83860" w:rsidRPr="00D83860" w:rsidRDefault="00B66160" w:rsidP="00B17E11">
            <w:pPr>
              <w:jc w:val="center"/>
              <w:rPr>
                <w:rFonts w:eastAsia="Times New Roman" w:cs="Calibri"/>
                <w:b/>
                <w:bCs/>
                <w:color w:val="FFFFFF"/>
                <w:sz w:val="22"/>
                <w:szCs w:val="22"/>
                <w:lang w:val="es-CO" w:eastAsia="es-CO"/>
              </w:rPr>
            </w:pPr>
            <w:r>
              <w:rPr>
                <w:rFonts w:eastAsia="Times New Roman" w:cs="Calibri"/>
                <w:b/>
                <w:bCs/>
                <w:color w:val="FFFFFF"/>
                <w:sz w:val="22"/>
                <w:szCs w:val="22"/>
                <w:lang w:val="es-CO" w:eastAsia="es-CO"/>
              </w:rPr>
              <w:t>$199.0</w:t>
            </w:r>
            <w:r w:rsidR="00D83860" w:rsidRPr="00D83860">
              <w:rPr>
                <w:rFonts w:eastAsia="Times New Roman" w:cs="Calibri"/>
                <w:b/>
                <w:bCs/>
                <w:color w:val="FFFFFF"/>
                <w:sz w:val="22"/>
                <w:szCs w:val="22"/>
                <w:lang w:val="es-CO" w:eastAsia="es-CO"/>
              </w:rPr>
              <w:t>8</w:t>
            </w:r>
            <w:r>
              <w:rPr>
                <w:rFonts w:eastAsia="Times New Roman" w:cs="Calibri"/>
                <w:b/>
                <w:bCs/>
                <w:color w:val="FFFFFF"/>
                <w:sz w:val="22"/>
                <w:szCs w:val="22"/>
                <w:lang w:val="es-CO" w:eastAsia="es-CO"/>
              </w:rPr>
              <w:t>7.35</w:t>
            </w:r>
            <w:r w:rsidR="00D83860" w:rsidRPr="00D83860">
              <w:rPr>
                <w:rFonts w:eastAsia="Times New Roman" w:cs="Calibri"/>
                <w:b/>
                <w:bCs/>
                <w:color w:val="FFFFFF"/>
                <w:sz w:val="22"/>
                <w:szCs w:val="22"/>
                <w:lang w:val="es-CO" w:eastAsia="es-CO"/>
              </w:rPr>
              <w:t>0.</w:t>
            </w:r>
            <w:r>
              <w:rPr>
                <w:rFonts w:eastAsia="Times New Roman" w:cs="Calibri"/>
                <w:b/>
                <w:bCs/>
                <w:color w:val="FFFFFF"/>
                <w:sz w:val="22"/>
                <w:szCs w:val="22"/>
                <w:lang w:val="es-CO" w:eastAsia="es-CO"/>
              </w:rPr>
              <w:t>196</w:t>
            </w:r>
          </w:p>
        </w:tc>
        <w:tc>
          <w:tcPr>
            <w:tcW w:w="550" w:type="pct"/>
            <w:tcBorders>
              <w:top w:val="nil"/>
              <w:left w:val="nil"/>
              <w:bottom w:val="single" w:sz="4" w:space="0" w:color="BFBFBF"/>
              <w:right w:val="single" w:sz="4" w:space="0" w:color="BFBFBF"/>
            </w:tcBorders>
            <w:shd w:val="clear" w:color="000000" w:fill="002060"/>
            <w:vAlign w:val="center"/>
            <w:hideMark/>
          </w:tcPr>
          <w:p w14:paraId="34CB79DA" w14:textId="77777777" w:rsidR="00D83860" w:rsidRPr="00D83860" w:rsidRDefault="00D83860" w:rsidP="00B17E11">
            <w:pPr>
              <w:jc w:val="center"/>
              <w:rPr>
                <w:rFonts w:eastAsia="Times New Roman" w:cs="Calibri"/>
                <w:b/>
                <w:bCs/>
                <w:color w:val="FFFFFF"/>
                <w:sz w:val="22"/>
                <w:szCs w:val="22"/>
                <w:lang w:val="es-CO" w:eastAsia="es-CO"/>
              </w:rPr>
            </w:pPr>
            <w:r w:rsidRPr="00D83860">
              <w:rPr>
                <w:rFonts w:eastAsia="Times New Roman" w:cs="Calibri"/>
                <w:b/>
                <w:bCs/>
                <w:color w:val="FFFFFF"/>
                <w:sz w:val="22"/>
                <w:szCs w:val="22"/>
                <w:lang w:val="es-CO" w:eastAsia="es-CO"/>
              </w:rPr>
              <w:t>42,2%</w:t>
            </w:r>
          </w:p>
        </w:tc>
      </w:tr>
    </w:tbl>
    <w:p w14:paraId="3D479532" w14:textId="77777777" w:rsidR="004F107D" w:rsidRDefault="004F107D" w:rsidP="00DB3190">
      <w:pPr>
        <w:jc w:val="both"/>
        <w:rPr>
          <w:sz w:val="22"/>
          <w:szCs w:val="22"/>
          <w:lang w:val="es-CO"/>
        </w:rPr>
      </w:pPr>
    </w:p>
    <w:p w14:paraId="214CAAF9" w14:textId="4DAE92EE" w:rsidR="00583D64" w:rsidRPr="00942B99" w:rsidRDefault="00583D64" w:rsidP="00DB3190">
      <w:pPr>
        <w:jc w:val="both"/>
        <w:rPr>
          <w:lang w:val="es-CO"/>
        </w:rPr>
      </w:pPr>
      <w:r w:rsidRPr="00942B99">
        <w:rPr>
          <w:lang w:val="es-CO"/>
        </w:rPr>
        <w:t>Es importante señalar que la inversión de la entidad contempla recursos para su misionalidad. Es más, de los recursos de inversión dependen servicios de justicia a cargo de la entidad, tales como la atención, participación protección y representación judicial a víctimas; la asesoría y defensa judicial a comparecientes; la presencia territorial; y el apoyo a servicios de investigación y acusación y las actuaciones judiciales. Dentro del apoyo a la actividad judicial se encuentran las labores para el seguimiento al régimen de condicionalidad, el cumplimiento de sanciones propias, el avance en trabajos, obras y actividades de contenido reparador por parte de la JEP.</w:t>
      </w:r>
    </w:p>
    <w:p w14:paraId="1547CA48" w14:textId="77777777" w:rsidR="00583D64" w:rsidRPr="00942B99" w:rsidRDefault="00583D64" w:rsidP="00DB3190">
      <w:pPr>
        <w:jc w:val="both"/>
        <w:rPr>
          <w:lang w:val="es-CO"/>
        </w:rPr>
      </w:pPr>
    </w:p>
    <w:p w14:paraId="7E27EBFE" w14:textId="77777777" w:rsidR="00583D64" w:rsidRPr="00942B99" w:rsidRDefault="00583D64" w:rsidP="00DB3190">
      <w:pPr>
        <w:jc w:val="both"/>
        <w:rPr>
          <w:lang w:val="es-CO"/>
        </w:rPr>
      </w:pPr>
      <w:r w:rsidRPr="00942B99">
        <w:rPr>
          <w:lang w:val="es-CO"/>
        </w:rPr>
        <w:t>La inversión, en programa presupuestal misional, también contempla recursos para protección de altos funcionarios; protección de víctimas, testigos e intervinientes; y comunicaciones y publicidad de las actuaciones judiciales de la JEP. En cuanto a programa presupuestal transversal, la inversión incluye la implementación de soluciones tecnológicas que soporten las necesidades misionales y administrativas; la atención a la ciudadanía; la adecuación y dotación de espacios físicos donde operan los grupos territoriales de la JEP y la sede actual de la entidad; y el fortalecimiento institucional y la implementación del Modelo de planeación y gestión para la administración de justicia en la JEP.</w:t>
      </w:r>
    </w:p>
    <w:p w14:paraId="18ED32BF" w14:textId="0256BCCB" w:rsidR="009C1311" w:rsidRPr="00B17E11" w:rsidRDefault="00137BA2" w:rsidP="00DB3190">
      <w:pPr>
        <w:pStyle w:val="Ttulo2"/>
        <w:numPr>
          <w:ilvl w:val="1"/>
          <w:numId w:val="4"/>
        </w:numPr>
        <w:spacing w:before="0"/>
        <w:rPr>
          <w:rFonts w:ascii="Palatino Linotype" w:hAnsi="Palatino Linotype"/>
          <w:b/>
          <w:sz w:val="24"/>
          <w:szCs w:val="24"/>
          <w:lang w:val="es-ES_tradnl"/>
        </w:rPr>
      </w:pPr>
      <w:bookmarkStart w:id="18" w:name="_Toc36031120"/>
      <w:r w:rsidRPr="00B17E11">
        <w:rPr>
          <w:rFonts w:ascii="Palatino Linotype" w:hAnsi="Palatino Linotype"/>
          <w:b/>
          <w:sz w:val="24"/>
          <w:szCs w:val="24"/>
        </w:rPr>
        <w:lastRenderedPageBreak/>
        <w:t xml:space="preserve">AJUSTE AL </w:t>
      </w:r>
      <w:r w:rsidR="00303661" w:rsidRPr="00B17E11">
        <w:rPr>
          <w:rFonts w:ascii="Palatino Linotype" w:hAnsi="Palatino Linotype"/>
          <w:b/>
          <w:sz w:val="24"/>
          <w:szCs w:val="24"/>
        </w:rPr>
        <w:t>TOPE</w:t>
      </w:r>
      <w:r w:rsidRPr="00B17E11">
        <w:rPr>
          <w:rFonts w:ascii="Palatino Linotype" w:hAnsi="Palatino Linotype"/>
          <w:b/>
          <w:sz w:val="24"/>
          <w:szCs w:val="24"/>
        </w:rPr>
        <w:t xml:space="preserve"> PRESUPUESTAL </w:t>
      </w:r>
      <w:r w:rsidR="008B1EC6" w:rsidRPr="00B17E11">
        <w:rPr>
          <w:rFonts w:ascii="Palatino Linotype" w:hAnsi="Palatino Linotype"/>
          <w:b/>
          <w:sz w:val="24"/>
          <w:szCs w:val="24"/>
        </w:rPr>
        <w:t>2021</w:t>
      </w:r>
      <w:bookmarkEnd w:id="18"/>
    </w:p>
    <w:p w14:paraId="086E2C8F" w14:textId="77777777" w:rsidR="005154DC" w:rsidRDefault="005154DC" w:rsidP="00DB3190">
      <w:pPr>
        <w:jc w:val="both"/>
        <w:rPr>
          <w:sz w:val="22"/>
          <w:szCs w:val="22"/>
          <w:lang w:val="es-CO"/>
        </w:rPr>
      </w:pPr>
    </w:p>
    <w:p w14:paraId="19ACE581" w14:textId="016AF20F" w:rsidR="009C1311" w:rsidRPr="00942B99" w:rsidRDefault="004F58C2" w:rsidP="00DB3190">
      <w:pPr>
        <w:jc w:val="both"/>
        <w:rPr>
          <w:lang w:val="es-CO"/>
        </w:rPr>
      </w:pPr>
      <w:r w:rsidRPr="00942B99">
        <w:rPr>
          <w:lang w:val="es-CO"/>
        </w:rPr>
        <w:t xml:space="preserve">En total, las necesidades presupuestales de la JEP para el 2021 </w:t>
      </w:r>
      <w:r w:rsidR="008F5213" w:rsidRPr="00942B99">
        <w:rPr>
          <w:lang w:val="es-CO"/>
        </w:rPr>
        <w:t>ascienden a $</w:t>
      </w:r>
      <w:r w:rsidR="006C0B64" w:rsidRPr="006C0B64">
        <w:rPr>
          <w:lang w:val="es-CO"/>
        </w:rPr>
        <w:t>417.529.427.692</w:t>
      </w:r>
      <w:r w:rsidR="008F5213" w:rsidRPr="00942B99">
        <w:rPr>
          <w:lang w:val="es-CO"/>
        </w:rPr>
        <w:t xml:space="preserve">, lo que significa una desfinanciación </w:t>
      </w:r>
      <w:r w:rsidR="006C0B64">
        <w:rPr>
          <w:lang w:val="es-CO"/>
        </w:rPr>
        <w:t>en las necesidades de inversión, que en términos globales corresponde a</w:t>
      </w:r>
      <w:r w:rsidR="008F5213" w:rsidRPr="00942B99">
        <w:rPr>
          <w:lang w:val="es-CO"/>
        </w:rPr>
        <w:t xml:space="preserve">l </w:t>
      </w:r>
      <w:r w:rsidR="00E13FD3" w:rsidRPr="00942B99">
        <w:rPr>
          <w:lang w:val="es-CO"/>
        </w:rPr>
        <w:t>43.</w:t>
      </w:r>
      <w:r w:rsidR="00CB1C90" w:rsidRPr="00942B99">
        <w:rPr>
          <w:lang w:val="es-CO"/>
        </w:rPr>
        <w:t>74</w:t>
      </w:r>
      <w:r w:rsidR="008F5213" w:rsidRPr="00942B99">
        <w:rPr>
          <w:lang w:val="es-CO"/>
        </w:rPr>
        <w:t xml:space="preserve">% frente al </w:t>
      </w:r>
      <w:r w:rsidR="00303661" w:rsidRPr="00942B99">
        <w:rPr>
          <w:lang w:val="es-CO"/>
        </w:rPr>
        <w:t>tope</w:t>
      </w:r>
      <w:r w:rsidR="008F5213" w:rsidRPr="00942B99">
        <w:rPr>
          <w:lang w:val="es-CO"/>
        </w:rPr>
        <w:t xml:space="preserve"> anunciado por el MHCP</w:t>
      </w:r>
      <w:r w:rsidR="006C0B64">
        <w:rPr>
          <w:lang w:val="es-CO"/>
        </w:rPr>
        <w:t xml:space="preserve"> (Ver T</w:t>
      </w:r>
      <w:r w:rsidR="00126DB6" w:rsidRPr="00942B99">
        <w:rPr>
          <w:lang w:val="es-CO"/>
        </w:rPr>
        <w:t>abla 6</w:t>
      </w:r>
      <w:r w:rsidR="006C0B64">
        <w:rPr>
          <w:lang w:val="es-CO"/>
        </w:rPr>
        <w:t>)</w:t>
      </w:r>
      <w:r w:rsidR="00126DB6" w:rsidRPr="00942B99">
        <w:rPr>
          <w:lang w:val="es-CO"/>
        </w:rPr>
        <w:t xml:space="preserve">. </w:t>
      </w:r>
    </w:p>
    <w:p w14:paraId="009F1654" w14:textId="7ED4D98D" w:rsidR="007B491B" w:rsidRDefault="007B491B">
      <w:pPr>
        <w:rPr>
          <w:b/>
          <w:i/>
          <w:iCs/>
          <w:color w:val="000000" w:themeColor="text1"/>
          <w:sz w:val="22"/>
          <w:szCs w:val="22"/>
          <w:lang w:val="es-CO"/>
        </w:rPr>
      </w:pPr>
    </w:p>
    <w:p w14:paraId="05A9D0DB" w14:textId="46AAE797" w:rsidR="00045F70" w:rsidRPr="008637A8" w:rsidRDefault="00045F70" w:rsidP="00DB3190">
      <w:pPr>
        <w:pStyle w:val="Descripcin"/>
        <w:spacing w:after="0"/>
        <w:jc w:val="both"/>
        <w:rPr>
          <w:b/>
          <w:color w:val="000000" w:themeColor="text1"/>
          <w:sz w:val="22"/>
          <w:szCs w:val="22"/>
          <w:lang w:val="es-CO"/>
        </w:rPr>
      </w:pPr>
      <w:r w:rsidRPr="008637A8">
        <w:rPr>
          <w:b/>
          <w:color w:val="000000" w:themeColor="text1"/>
          <w:sz w:val="22"/>
          <w:szCs w:val="22"/>
          <w:lang w:val="es-CO"/>
        </w:rPr>
        <w:t xml:space="preserve">Tabla </w:t>
      </w:r>
      <w:r w:rsidRPr="008637A8">
        <w:rPr>
          <w:b/>
          <w:color w:val="000000" w:themeColor="text1"/>
          <w:sz w:val="22"/>
          <w:szCs w:val="22"/>
          <w:lang w:val="es-CO"/>
        </w:rPr>
        <w:fldChar w:fldCharType="begin"/>
      </w:r>
      <w:r w:rsidRPr="008637A8">
        <w:rPr>
          <w:b/>
          <w:color w:val="000000" w:themeColor="text1"/>
          <w:sz w:val="22"/>
          <w:szCs w:val="22"/>
          <w:lang w:val="es-CO"/>
        </w:rPr>
        <w:instrText xml:space="preserve"> SEQ Tabla \* ARABIC </w:instrText>
      </w:r>
      <w:r w:rsidRPr="008637A8">
        <w:rPr>
          <w:b/>
          <w:color w:val="000000" w:themeColor="text1"/>
          <w:sz w:val="22"/>
          <w:szCs w:val="22"/>
          <w:lang w:val="es-CO"/>
        </w:rPr>
        <w:fldChar w:fldCharType="separate"/>
      </w:r>
      <w:r w:rsidR="00D23B8F">
        <w:rPr>
          <w:b/>
          <w:noProof/>
          <w:color w:val="000000" w:themeColor="text1"/>
          <w:sz w:val="22"/>
          <w:szCs w:val="22"/>
          <w:lang w:val="es-CO"/>
        </w:rPr>
        <w:t>6</w:t>
      </w:r>
      <w:r w:rsidRPr="008637A8">
        <w:rPr>
          <w:b/>
          <w:color w:val="000000" w:themeColor="text1"/>
          <w:sz w:val="22"/>
          <w:szCs w:val="22"/>
          <w:lang w:val="es-CO"/>
        </w:rPr>
        <w:fldChar w:fldCharType="end"/>
      </w:r>
      <w:r w:rsidRPr="008637A8">
        <w:rPr>
          <w:b/>
          <w:color w:val="000000" w:themeColor="text1"/>
          <w:sz w:val="22"/>
          <w:szCs w:val="22"/>
          <w:lang w:val="es-CO"/>
        </w:rPr>
        <w:t xml:space="preserve">. Escenario </w:t>
      </w:r>
      <w:r w:rsidR="00D23B8F">
        <w:rPr>
          <w:b/>
          <w:color w:val="000000" w:themeColor="text1"/>
          <w:sz w:val="22"/>
          <w:szCs w:val="22"/>
          <w:lang w:val="es-CO"/>
        </w:rPr>
        <w:t xml:space="preserve">con las necesidades </w:t>
      </w:r>
      <w:r w:rsidR="00622359">
        <w:rPr>
          <w:b/>
          <w:color w:val="000000" w:themeColor="text1"/>
          <w:sz w:val="22"/>
          <w:szCs w:val="22"/>
          <w:lang w:val="es-CO"/>
        </w:rPr>
        <w:t xml:space="preserve">presupuestales 2021 </w:t>
      </w:r>
      <w:r w:rsidR="00D23B8F">
        <w:rPr>
          <w:b/>
          <w:color w:val="000000" w:themeColor="text1"/>
          <w:sz w:val="22"/>
          <w:szCs w:val="22"/>
          <w:lang w:val="es-CO"/>
        </w:rPr>
        <w:t>d</w:t>
      </w:r>
      <w:r w:rsidRPr="008637A8">
        <w:rPr>
          <w:b/>
          <w:color w:val="000000" w:themeColor="text1"/>
          <w:sz w:val="22"/>
          <w:szCs w:val="22"/>
          <w:lang w:val="es-CO"/>
        </w:rPr>
        <w:t>e la JEP</w:t>
      </w:r>
      <w:r w:rsidR="008637A8" w:rsidRPr="008637A8">
        <w:rPr>
          <w:b/>
          <w:color w:val="000000" w:themeColor="text1"/>
          <w:sz w:val="22"/>
          <w:szCs w:val="22"/>
          <w:lang w:val="es-CO"/>
        </w:rPr>
        <w:t xml:space="preserve"> – Cifras en pesos corrientes</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748"/>
        <w:gridCol w:w="2626"/>
        <w:gridCol w:w="1922"/>
        <w:gridCol w:w="1872"/>
      </w:tblGrid>
      <w:tr w:rsidR="00D7420B" w:rsidRPr="001B09A0" w14:paraId="51DCAEB9" w14:textId="77777777" w:rsidTr="006A1B70">
        <w:trPr>
          <w:trHeight w:val="713"/>
          <w:tblHeader/>
          <w:jc w:val="center"/>
        </w:trPr>
        <w:tc>
          <w:tcPr>
            <w:tcW w:w="2931" w:type="pct"/>
            <w:gridSpan w:val="2"/>
            <w:shd w:val="clear" w:color="auto" w:fill="002060"/>
            <w:tcMar>
              <w:top w:w="15" w:type="dxa"/>
              <w:left w:w="52" w:type="dxa"/>
              <w:bottom w:w="0" w:type="dxa"/>
              <w:right w:w="52" w:type="dxa"/>
            </w:tcMar>
            <w:vAlign w:val="center"/>
            <w:hideMark/>
          </w:tcPr>
          <w:p w14:paraId="4570345B" w14:textId="25836A7E" w:rsidR="00D7420B" w:rsidRPr="00D64B34" w:rsidRDefault="00D7420B" w:rsidP="006A1B70">
            <w:pPr>
              <w:jc w:val="center"/>
              <w:rPr>
                <w:sz w:val="20"/>
                <w:szCs w:val="22"/>
                <w:lang w:val="es-CO"/>
              </w:rPr>
            </w:pPr>
            <w:r w:rsidRPr="00D64B34">
              <w:rPr>
                <w:b/>
                <w:bCs/>
                <w:sz w:val="20"/>
                <w:szCs w:val="22"/>
                <w:lang w:val="es-CO"/>
              </w:rPr>
              <w:t>Solicitud 2021 sin planta adicional</w:t>
            </w:r>
          </w:p>
        </w:tc>
        <w:tc>
          <w:tcPr>
            <w:tcW w:w="1048" w:type="pct"/>
            <w:vMerge w:val="restart"/>
            <w:shd w:val="clear" w:color="auto" w:fill="002060"/>
            <w:tcMar>
              <w:top w:w="15" w:type="dxa"/>
              <w:left w:w="52" w:type="dxa"/>
              <w:bottom w:w="0" w:type="dxa"/>
              <w:right w:w="52" w:type="dxa"/>
            </w:tcMar>
            <w:vAlign w:val="center"/>
            <w:hideMark/>
          </w:tcPr>
          <w:p w14:paraId="7980F0B6" w14:textId="2D1FF9FE" w:rsidR="00D7420B" w:rsidRPr="00D64B34" w:rsidRDefault="00D7420B" w:rsidP="006A1B70">
            <w:pPr>
              <w:jc w:val="center"/>
              <w:rPr>
                <w:b/>
                <w:bCs/>
                <w:sz w:val="20"/>
                <w:szCs w:val="22"/>
                <w:lang w:val="es-CO"/>
              </w:rPr>
            </w:pPr>
            <w:r w:rsidRPr="00D64B34">
              <w:rPr>
                <w:b/>
                <w:bCs/>
                <w:sz w:val="20"/>
                <w:szCs w:val="22"/>
                <w:lang w:val="es-CO"/>
              </w:rPr>
              <w:t>TOPE</w:t>
            </w:r>
          </w:p>
          <w:p w14:paraId="0B4B56DE" w14:textId="629F78A4" w:rsidR="00D7420B" w:rsidRPr="00D64B34" w:rsidRDefault="00D7420B" w:rsidP="006A1B70">
            <w:pPr>
              <w:jc w:val="center"/>
              <w:rPr>
                <w:sz w:val="20"/>
                <w:szCs w:val="22"/>
                <w:lang w:val="es-CO"/>
              </w:rPr>
            </w:pPr>
            <w:r w:rsidRPr="00D64B34">
              <w:rPr>
                <w:b/>
                <w:bCs/>
                <w:sz w:val="20"/>
                <w:szCs w:val="22"/>
                <w:lang w:val="es-CO"/>
              </w:rPr>
              <w:t>2021</w:t>
            </w:r>
          </w:p>
          <w:p w14:paraId="64502BEF" w14:textId="4685EC55" w:rsidR="00D7420B" w:rsidRPr="00B70C4B" w:rsidRDefault="00D7420B" w:rsidP="006A1B70">
            <w:pPr>
              <w:jc w:val="center"/>
              <w:rPr>
                <w:sz w:val="22"/>
                <w:szCs w:val="22"/>
                <w:lang w:val="es-CO"/>
              </w:rPr>
            </w:pPr>
          </w:p>
        </w:tc>
        <w:tc>
          <w:tcPr>
            <w:tcW w:w="1021" w:type="pct"/>
            <w:vMerge w:val="restart"/>
            <w:shd w:val="clear" w:color="auto" w:fill="002060"/>
            <w:tcMar>
              <w:top w:w="15" w:type="dxa"/>
              <w:left w:w="52" w:type="dxa"/>
              <w:bottom w:w="0" w:type="dxa"/>
              <w:right w:w="52" w:type="dxa"/>
            </w:tcMar>
            <w:vAlign w:val="center"/>
            <w:hideMark/>
          </w:tcPr>
          <w:p w14:paraId="72B24CE2" w14:textId="377C48A3" w:rsidR="00D7420B" w:rsidRPr="00B70C4B" w:rsidRDefault="00D7420B" w:rsidP="006A1B70">
            <w:pPr>
              <w:jc w:val="center"/>
              <w:rPr>
                <w:sz w:val="22"/>
                <w:szCs w:val="22"/>
                <w:lang w:val="es-CO"/>
              </w:rPr>
            </w:pPr>
            <w:r w:rsidRPr="00D64B34">
              <w:rPr>
                <w:b/>
                <w:bCs/>
                <w:sz w:val="20"/>
                <w:szCs w:val="22"/>
                <w:lang w:val="es-CO"/>
              </w:rPr>
              <w:t xml:space="preserve">Diferencia </w:t>
            </w:r>
          </w:p>
        </w:tc>
      </w:tr>
      <w:tr w:rsidR="00D7420B" w:rsidRPr="00B70C4B" w14:paraId="149CB8A1" w14:textId="77777777" w:rsidTr="006A1B70">
        <w:trPr>
          <w:trHeight w:val="326"/>
          <w:tblHeader/>
          <w:jc w:val="center"/>
        </w:trPr>
        <w:tc>
          <w:tcPr>
            <w:tcW w:w="1499" w:type="pct"/>
            <w:shd w:val="clear" w:color="auto" w:fill="D9D9D9"/>
            <w:tcMar>
              <w:top w:w="15" w:type="dxa"/>
              <w:left w:w="52" w:type="dxa"/>
              <w:bottom w:w="0" w:type="dxa"/>
              <w:right w:w="52" w:type="dxa"/>
            </w:tcMar>
            <w:vAlign w:val="center"/>
            <w:hideMark/>
          </w:tcPr>
          <w:p w14:paraId="1A27D483" w14:textId="77777777" w:rsidR="00D7420B" w:rsidRPr="00B70C4B" w:rsidRDefault="00D7420B" w:rsidP="006A1B70">
            <w:pPr>
              <w:jc w:val="center"/>
              <w:rPr>
                <w:sz w:val="22"/>
                <w:szCs w:val="22"/>
                <w:lang w:val="es-CO"/>
              </w:rPr>
            </w:pPr>
            <w:r w:rsidRPr="00B70C4B">
              <w:rPr>
                <w:b/>
                <w:bCs/>
                <w:sz w:val="22"/>
                <w:szCs w:val="22"/>
                <w:lang w:val="es-CO"/>
              </w:rPr>
              <w:t>Cuenta</w:t>
            </w:r>
          </w:p>
        </w:tc>
        <w:tc>
          <w:tcPr>
            <w:tcW w:w="1432" w:type="pct"/>
            <w:shd w:val="clear" w:color="auto" w:fill="D9D9D9"/>
            <w:tcMar>
              <w:top w:w="15" w:type="dxa"/>
              <w:left w:w="52" w:type="dxa"/>
              <w:bottom w:w="0" w:type="dxa"/>
              <w:right w:w="52" w:type="dxa"/>
            </w:tcMar>
            <w:vAlign w:val="center"/>
            <w:hideMark/>
          </w:tcPr>
          <w:p w14:paraId="05106F40" w14:textId="77777777" w:rsidR="00D7420B" w:rsidRPr="00B70C4B" w:rsidRDefault="00D7420B" w:rsidP="006A1B70">
            <w:pPr>
              <w:jc w:val="center"/>
              <w:rPr>
                <w:sz w:val="22"/>
                <w:szCs w:val="22"/>
                <w:lang w:val="es-CO"/>
              </w:rPr>
            </w:pPr>
            <w:r w:rsidRPr="00B70C4B">
              <w:rPr>
                <w:b/>
                <w:bCs/>
                <w:sz w:val="22"/>
                <w:szCs w:val="22"/>
                <w:lang w:val="es-CO"/>
              </w:rPr>
              <w:t>Valor</w:t>
            </w:r>
          </w:p>
        </w:tc>
        <w:tc>
          <w:tcPr>
            <w:tcW w:w="1048" w:type="pct"/>
            <w:vMerge/>
            <w:vAlign w:val="center"/>
            <w:hideMark/>
          </w:tcPr>
          <w:p w14:paraId="3A53FCF4" w14:textId="77777777" w:rsidR="00D7420B" w:rsidRPr="00B70C4B" w:rsidRDefault="00D7420B" w:rsidP="006A1B70">
            <w:pPr>
              <w:jc w:val="center"/>
              <w:rPr>
                <w:sz w:val="22"/>
                <w:szCs w:val="22"/>
                <w:lang w:val="es-CO"/>
              </w:rPr>
            </w:pPr>
          </w:p>
        </w:tc>
        <w:tc>
          <w:tcPr>
            <w:tcW w:w="1021" w:type="pct"/>
            <w:vMerge/>
            <w:vAlign w:val="center"/>
            <w:hideMark/>
          </w:tcPr>
          <w:p w14:paraId="431BE1CD" w14:textId="77777777" w:rsidR="00D7420B" w:rsidRPr="00B70C4B" w:rsidRDefault="00D7420B" w:rsidP="006A1B70">
            <w:pPr>
              <w:jc w:val="center"/>
              <w:rPr>
                <w:sz w:val="22"/>
                <w:szCs w:val="22"/>
                <w:lang w:val="es-CO"/>
              </w:rPr>
            </w:pPr>
          </w:p>
        </w:tc>
      </w:tr>
      <w:tr w:rsidR="00D7420B" w:rsidRPr="005B6621" w14:paraId="0C33CF95" w14:textId="77777777" w:rsidTr="00D7420B">
        <w:trPr>
          <w:trHeight w:val="363"/>
          <w:jc w:val="center"/>
        </w:trPr>
        <w:tc>
          <w:tcPr>
            <w:tcW w:w="1499" w:type="pct"/>
            <w:shd w:val="clear" w:color="auto" w:fill="D9E1F2"/>
            <w:tcMar>
              <w:top w:w="15" w:type="dxa"/>
              <w:left w:w="52" w:type="dxa"/>
              <w:bottom w:w="0" w:type="dxa"/>
              <w:right w:w="52" w:type="dxa"/>
            </w:tcMar>
            <w:vAlign w:val="center"/>
            <w:hideMark/>
          </w:tcPr>
          <w:p w14:paraId="5B63AC0A" w14:textId="77777777" w:rsidR="00D7420B" w:rsidRPr="005B6621" w:rsidRDefault="00D7420B" w:rsidP="006A1B70">
            <w:pPr>
              <w:jc w:val="center"/>
              <w:rPr>
                <w:sz w:val="20"/>
                <w:szCs w:val="20"/>
                <w:lang w:val="es-CO"/>
              </w:rPr>
            </w:pPr>
            <w:r w:rsidRPr="005B6621">
              <w:rPr>
                <w:b/>
                <w:bCs/>
                <w:sz w:val="20"/>
                <w:szCs w:val="20"/>
                <w:lang w:val="es-CO"/>
              </w:rPr>
              <w:t>Funcionamiento</w:t>
            </w:r>
          </w:p>
        </w:tc>
        <w:tc>
          <w:tcPr>
            <w:tcW w:w="1432" w:type="pct"/>
            <w:shd w:val="clear" w:color="auto" w:fill="D9E1F2"/>
            <w:tcMar>
              <w:top w:w="15" w:type="dxa"/>
              <w:left w:w="52" w:type="dxa"/>
              <w:bottom w:w="0" w:type="dxa"/>
              <w:right w:w="52" w:type="dxa"/>
            </w:tcMar>
            <w:vAlign w:val="center"/>
            <w:hideMark/>
          </w:tcPr>
          <w:p w14:paraId="19CBD447" w14:textId="3EC660C3" w:rsidR="00D7420B" w:rsidRPr="005B6621" w:rsidRDefault="00D7420B" w:rsidP="006A1B70">
            <w:pPr>
              <w:jc w:val="center"/>
              <w:rPr>
                <w:sz w:val="20"/>
                <w:szCs w:val="20"/>
                <w:lang w:val="es-CO"/>
              </w:rPr>
            </w:pPr>
            <w:r w:rsidRPr="005B6621">
              <w:rPr>
                <w:b/>
                <w:bCs/>
                <w:sz w:val="20"/>
                <w:szCs w:val="20"/>
                <w:lang w:val="es-CO"/>
              </w:rPr>
              <w:t>$218.442.077.496</w:t>
            </w:r>
          </w:p>
        </w:tc>
        <w:tc>
          <w:tcPr>
            <w:tcW w:w="2069" w:type="pct"/>
            <w:gridSpan w:val="2"/>
            <w:shd w:val="clear" w:color="auto" w:fill="D9E1F2"/>
            <w:tcMar>
              <w:top w:w="15" w:type="dxa"/>
              <w:left w:w="52" w:type="dxa"/>
              <w:bottom w:w="0" w:type="dxa"/>
              <w:right w:w="52" w:type="dxa"/>
            </w:tcMar>
            <w:vAlign w:val="center"/>
            <w:hideMark/>
          </w:tcPr>
          <w:p w14:paraId="487A13F9" w14:textId="35FB550E" w:rsidR="00D7420B" w:rsidRPr="005B6621" w:rsidRDefault="00C118AF" w:rsidP="006A1B70">
            <w:pPr>
              <w:jc w:val="center"/>
              <w:rPr>
                <w:sz w:val="20"/>
                <w:szCs w:val="20"/>
                <w:lang w:val="es-CO"/>
              </w:rPr>
            </w:pPr>
            <w:r>
              <w:rPr>
                <w:b/>
                <w:bCs/>
                <w:sz w:val="20"/>
                <w:szCs w:val="20"/>
                <w:lang w:val="es-CO"/>
              </w:rPr>
              <w:t>Gasto de f</w:t>
            </w:r>
            <w:r w:rsidR="00D7420B" w:rsidRPr="005B6621">
              <w:rPr>
                <w:b/>
                <w:bCs/>
                <w:sz w:val="20"/>
                <w:szCs w:val="20"/>
                <w:lang w:val="es-CO"/>
              </w:rPr>
              <w:t>uncionamiento</w:t>
            </w:r>
          </w:p>
        </w:tc>
      </w:tr>
      <w:tr w:rsidR="00D7420B" w:rsidRPr="005B6621" w14:paraId="030F4738" w14:textId="77777777" w:rsidTr="0059013B">
        <w:trPr>
          <w:trHeight w:val="379"/>
          <w:jc w:val="center"/>
        </w:trPr>
        <w:tc>
          <w:tcPr>
            <w:tcW w:w="1499" w:type="pct"/>
            <w:shd w:val="clear" w:color="auto" w:fill="D9D9D9"/>
            <w:tcMar>
              <w:top w:w="15" w:type="dxa"/>
              <w:left w:w="52" w:type="dxa"/>
              <w:bottom w:w="0" w:type="dxa"/>
              <w:right w:w="52" w:type="dxa"/>
            </w:tcMar>
            <w:vAlign w:val="center"/>
            <w:hideMark/>
          </w:tcPr>
          <w:p w14:paraId="3AAF4399" w14:textId="1F267A64" w:rsidR="00D7420B" w:rsidRPr="005B6621" w:rsidRDefault="00D7420B" w:rsidP="006A1B70">
            <w:pPr>
              <w:jc w:val="center"/>
              <w:rPr>
                <w:sz w:val="20"/>
                <w:szCs w:val="20"/>
                <w:lang w:val="es-CO"/>
              </w:rPr>
            </w:pPr>
            <w:r>
              <w:rPr>
                <w:b/>
                <w:bCs/>
                <w:sz w:val="20"/>
                <w:szCs w:val="20"/>
                <w:lang w:val="es-CO"/>
              </w:rPr>
              <w:t>Gastos de Personal</w:t>
            </w:r>
          </w:p>
        </w:tc>
        <w:tc>
          <w:tcPr>
            <w:tcW w:w="1432" w:type="pct"/>
            <w:shd w:val="clear" w:color="auto" w:fill="D9D9D9"/>
            <w:tcMar>
              <w:top w:w="15" w:type="dxa"/>
              <w:left w:w="52" w:type="dxa"/>
              <w:bottom w:w="0" w:type="dxa"/>
              <w:right w:w="52" w:type="dxa"/>
            </w:tcMar>
            <w:vAlign w:val="center"/>
            <w:hideMark/>
          </w:tcPr>
          <w:p w14:paraId="70C10E75" w14:textId="138E631B" w:rsidR="00D7420B" w:rsidRPr="0063006E" w:rsidRDefault="00D7420B" w:rsidP="006A1B70">
            <w:pPr>
              <w:jc w:val="center"/>
              <w:rPr>
                <w:b/>
                <w:sz w:val="20"/>
                <w:szCs w:val="20"/>
                <w:lang w:val="es-CO"/>
              </w:rPr>
            </w:pPr>
            <w:r w:rsidRPr="0063006E">
              <w:rPr>
                <w:rFonts w:eastAsia="Times New Roman" w:cs="Calibri"/>
                <w:b/>
                <w:color w:val="000000"/>
                <w:sz w:val="20"/>
                <w:szCs w:val="22"/>
                <w:lang w:val="es-CO" w:eastAsia="es-CO"/>
              </w:rPr>
              <w:t xml:space="preserve">$182.486.838.793 </w:t>
            </w:r>
          </w:p>
        </w:tc>
        <w:tc>
          <w:tcPr>
            <w:tcW w:w="1048" w:type="pct"/>
            <w:vMerge w:val="restart"/>
            <w:shd w:val="clear" w:color="auto" w:fill="EDEDED"/>
            <w:tcMar>
              <w:top w:w="15" w:type="dxa"/>
              <w:left w:w="52" w:type="dxa"/>
              <w:bottom w:w="0" w:type="dxa"/>
              <w:right w:w="52" w:type="dxa"/>
            </w:tcMar>
            <w:vAlign w:val="center"/>
            <w:hideMark/>
          </w:tcPr>
          <w:p w14:paraId="4E3F5864" w14:textId="77777777" w:rsidR="00D7420B" w:rsidRPr="006A1B70" w:rsidRDefault="00D7420B" w:rsidP="006A1B70">
            <w:pPr>
              <w:jc w:val="center"/>
              <w:rPr>
                <w:b/>
                <w:sz w:val="20"/>
                <w:szCs w:val="20"/>
                <w:lang w:val="es-CO"/>
              </w:rPr>
            </w:pPr>
            <w:r w:rsidRPr="006C0B64">
              <w:rPr>
                <w:b/>
                <w:bCs/>
                <w:sz w:val="20"/>
                <w:szCs w:val="20"/>
                <w:lang w:val="es-CO"/>
              </w:rPr>
              <w:t>$218.442.077.496</w:t>
            </w:r>
          </w:p>
        </w:tc>
        <w:tc>
          <w:tcPr>
            <w:tcW w:w="1021" w:type="pct"/>
            <w:vMerge w:val="restart"/>
            <w:shd w:val="clear" w:color="auto" w:fill="EDEDED"/>
            <w:tcMar>
              <w:top w:w="15" w:type="dxa"/>
              <w:left w:w="52" w:type="dxa"/>
              <w:bottom w:w="0" w:type="dxa"/>
              <w:right w:w="52" w:type="dxa"/>
            </w:tcMar>
            <w:vAlign w:val="center"/>
            <w:hideMark/>
          </w:tcPr>
          <w:p w14:paraId="721B141E" w14:textId="05FACAA3" w:rsidR="00D7420B" w:rsidRPr="006A1B70" w:rsidRDefault="00D7420B" w:rsidP="006A1B70">
            <w:pPr>
              <w:jc w:val="center"/>
              <w:rPr>
                <w:b/>
                <w:sz w:val="20"/>
                <w:szCs w:val="20"/>
                <w:lang w:val="es-CO"/>
              </w:rPr>
            </w:pPr>
            <w:r w:rsidRPr="006C0B64">
              <w:rPr>
                <w:b/>
                <w:bCs/>
                <w:sz w:val="20"/>
                <w:szCs w:val="20"/>
                <w:lang w:val="es-CO"/>
              </w:rPr>
              <w:t>$0</w:t>
            </w:r>
          </w:p>
        </w:tc>
      </w:tr>
      <w:tr w:rsidR="00D7420B" w:rsidRPr="005B6621" w14:paraId="32A60D34" w14:textId="77777777" w:rsidTr="0059013B">
        <w:trPr>
          <w:trHeight w:val="387"/>
          <w:jc w:val="center"/>
        </w:trPr>
        <w:tc>
          <w:tcPr>
            <w:tcW w:w="1499" w:type="pct"/>
            <w:shd w:val="clear" w:color="auto" w:fill="auto"/>
            <w:tcMar>
              <w:top w:w="15" w:type="dxa"/>
              <w:left w:w="52" w:type="dxa"/>
              <w:bottom w:w="0" w:type="dxa"/>
              <w:right w:w="52" w:type="dxa"/>
            </w:tcMar>
            <w:vAlign w:val="center"/>
            <w:hideMark/>
          </w:tcPr>
          <w:p w14:paraId="7C2BE55D" w14:textId="4EE183AB" w:rsidR="00D7420B" w:rsidRPr="0063006E" w:rsidRDefault="00D7420B" w:rsidP="006A1B70">
            <w:pPr>
              <w:jc w:val="right"/>
              <w:rPr>
                <w:sz w:val="20"/>
                <w:szCs w:val="20"/>
                <w:lang w:val="es-CO"/>
              </w:rPr>
            </w:pPr>
            <w:r w:rsidRPr="0063006E">
              <w:rPr>
                <w:rFonts w:eastAsia="Times New Roman" w:cs="Calibri"/>
                <w:color w:val="000000"/>
                <w:sz w:val="20"/>
                <w:szCs w:val="22"/>
                <w:lang w:val="es-CO" w:eastAsia="es-CO"/>
              </w:rPr>
              <w:t>Planta vigente JEP</w:t>
            </w:r>
          </w:p>
        </w:tc>
        <w:tc>
          <w:tcPr>
            <w:tcW w:w="1432" w:type="pct"/>
            <w:tcBorders>
              <w:bottom w:val="single" w:sz="4" w:space="0" w:color="BFBFBF" w:themeColor="background1" w:themeShade="BF"/>
            </w:tcBorders>
            <w:shd w:val="clear" w:color="auto" w:fill="auto"/>
            <w:tcMar>
              <w:top w:w="15" w:type="dxa"/>
              <w:left w:w="52" w:type="dxa"/>
              <w:bottom w:w="0" w:type="dxa"/>
              <w:right w:w="52" w:type="dxa"/>
            </w:tcMar>
            <w:vAlign w:val="center"/>
            <w:hideMark/>
          </w:tcPr>
          <w:p w14:paraId="3B0B1F91" w14:textId="5A7AC16C" w:rsidR="00D7420B" w:rsidRPr="0063006E" w:rsidRDefault="00D7420B" w:rsidP="006A1B70">
            <w:pPr>
              <w:jc w:val="center"/>
              <w:rPr>
                <w:sz w:val="20"/>
                <w:szCs w:val="20"/>
                <w:lang w:val="es-CO"/>
              </w:rPr>
            </w:pPr>
            <w:r w:rsidRPr="0063006E">
              <w:rPr>
                <w:rFonts w:eastAsia="Times New Roman" w:cs="Calibri"/>
                <w:color w:val="000000"/>
                <w:sz w:val="20"/>
                <w:szCs w:val="22"/>
                <w:lang w:val="es-CO" w:eastAsia="es-CO"/>
              </w:rPr>
              <w:t xml:space="preserve">$182.486.838.793 </w:t>
            </w:r>
          </w:p>
        </w:tc>
        <w:tc>
          <w:tcPr>
            <w:tcW w:w="1048" w:type="pct"/>
            <w:vMerge/>
            <w:vAlign w:val="center"/>
            <w:hideMark/>
          </w:tcPr>
          <w:p w14:paraId="29BEFB04" w14:textId="77777777" w:rsidR="00D7420B" w:rsidRPr="005B6621" w:rsidRDefault="00D7420B" w:rsidP="006A1B70">
            <w:pPr>
              <w:jc w:val="center"/>
              <w:rPr>
                <w:sz w:val="20"/>
                <w:szCs w:val="20"/>
                <w:lang w:val="es-CO"/>
              </w:rPr>
            </w:pPr>
          </w:p>
        </w:tc>
        <w:tc>
          <w:tcPr>
            <w:tcW w:w="1021" w:type="pct"/>
            <w:vMerge/>
            <w:vAlign w:val="center"/>
            <w:hideMark/>
          </w:tcPr>
          <w:p w14:paraId="1EB08AB1" w14:textId="77777777" w:rsidR="00D7420B" w:rsidRPr="005B6621" w:rsidRDefault="00D7420B" w:rsidP="006A1B70">
            <w:pPr>
              <w:jc w:val="center"/>
              <w:rPr>
                <w:sz w:val="20"/>
                <w:szCs w:val="20"/>
                <w:lang w:val="es-CO"/>
              </w:rPr>
            </w:pPr>
          </w:p>
        </w:tc>
      </w:tr>
      <w:tr w:rsidR="00D7420B" w:rsidRPr="005B6621" w14:paraId="7C8AC74A" w14:textId="77777777" w:rsidTr="00D7420B">
        <w:trPr>
          <w:trHeight w:val="323"/>
          <w:jc w:val="center"/>
        </w:trPr>
        <w:tc>
          <w:tcPr>
            <w:tcW w:w="1499" w:type="pct"/>
            <w:shd w:val="clear" w:color="auto" w:fill="D9D9D9"/>
            <w:tcMar>
              <w:top w:w="15" w:type="dxa"/>
              <w:left w:w="52" w:type="dxa"/>
              <w:bottom w:w="0" w:type="dxa"/>
              <w:right w:w="52" w:type="dxa"/>
            </w:tcMar>
            <w:vAlign w:val="center"/>
          </w:tcPr>
          <w:p w14:paraId="1A505B88" w14:textId="700C7ED6" w:rsidR="00D7420B" w:rsidRPr="0063006E" w:rsidRDefault="00D7420B" w:rsidP="006A1B70">
            <w:pPr>
              <w:jc w:val="center"/>
              <w:rPr>
                <w:b/>
                <w:bCs/>
                <w:sz w:val="20"/>
                <w:szCs w:val="20"/>
                <w:lang w:val="es-CO"/>
              </w:rPr>
            </w:pPr>
            <w:r w:rsidRPr="0063006E">
              <w:rPr>
                <w:rFonts w:eastAsia="Times New Roman" w:cs="Calibri"/>
                <w:b/>
                <w:color w:val="000000"/>
                <w:sz w:val="20"/>
                <w:szCs w:val="22"/>
                <w:lang w:val="es-CO" w:eastAsia="es-CO"/>
              </w:rPr>
              <w:t>Transferencias corrientes</w:t>
            </w:r>
          </w:p>
        </w:tc>
        <w:tc>
          <w:tcPr>
            <w:tcW w:w="1432" w:type="pct"/>
            <w:shd w:val="clear" w:color="auto" w:fill="D9D9D9"/>
            <w:tcMar>
              <w:top w:w="15" w:type="dxa"/>
              <w:left w:w="52" w:type="dxa"/>
              <w:bottom w:w="0" w:type="dxa"/>
              <w:right w:w="52" w:type="dxa"/>
            </w:tcMar>
            <w:vAlign w:val="center"/>
          </w:tcPr>
          <w:p w14:paraId="17D43BDD" w14:textId="2A6AC909" w:rsidR="00D7420B" w:rsidRPr="0063006E" w:rsidRDefault="00D7420B" w:rsidP="006A1B70">
            <w:pPr>
              <w:jc w:val="center"/>
              <w:rPr>
                <w:b/>
                <w:bCs/>
                <w:sz w:val="20"/>
                <w:szCs w:val="20"/>
                <w:lang w:val="es-CO"/>
              </w:rPr>
            </w:pPr>
            <w:r w:rsidRPr="0063006E">
              <w:rPr>
                <w:rFonts w:eastAsia="Times New Roman" w:cs="Calibri"/>
                <w:b/>
                <w:color w:val="000000"/>
                <w:sz w:val="20"/>
                <w:szCs w:val="22"/>
                <w:lang w:val="es-CO" w:eastAsia="es-CO"/>
              </w:rPr>
              <w:t xml:space="preserve">$229.148.713 </w:t>
            </w:r>
          </w:p>
        </w:tc>
        <w:tc>
          <w:tcPr>
            <w:tcW w:w="1048" w:type="pct"/>
            <w:vMerge/>
            <w:vAlign w:val="center"/>
          </w:tcPr>
          <w:p w14:paraId="3184F055" w14:textId="77777777" w:rsidR="00D7420B" w:rsidRPr="005B6621" w:rsidRDefault="00D7420B" w:rsidP="006A1B70">
            <w:pPr>
              <w:jc w:val="center"/>
              <w:rPr>
                <w:sz w:val="20"/>
                <w:szCs w:val="20"/>
                <w:lang w:val="es-CO"/>
              </w:rPr>
            </w:pPr>
          </w:p>
        </w:tc>
        <w:tc>
          <w:tcPr>
            <w:tcW w:w="1021" w:type="pct"/>
            <w:vMerge/>
            <w:vAlign w:val="center"/>
          </w:tcPr>
          <w:p w14:paraId="5404BFE6" w14:textId="77777777" w:rsidR="00D7420B" w:rsidRPr="005B6621" w:rsidRDefault="00D7420B" w:rsidP="006A1B70">
            <w:pPr>
              <w:jc w:val="center"/>
              <w:rPr>
                <w:sz w:val="20"/>
                <w:szCs w:val="20"/>
                <w:lang w:val="es-CO"/>
              </w:rPr>
            </w:pPr>
          </w:p>
        </w:tc>
      </w:tr>
      <w:tr w:rsidR="00D7420B" w:rsidRPr="005B6621" w14:paraId="65BC8273" w14:textId="77777777" w:rsidTr="006A1B70">
        <w:trPr>
          <w:trHeight w:val="323"/>
          <w:jc w:val="center"/>
        </w:trPr>
        <w:tc>
          <w:tcPr>
            <w:tcW w:w="1499" w:type="pct"/>
            <w:shd w:val="clear" w:color="auto" w:fill="auto"/>
            <w:tcMar>
              <w:top w:w="15" w:type="dxa"/>
              <w:left w:w="52" w:type="dxa"/>
              <w:bottom w:w="0" w:type="dxa"/>
              <w:right w:w="52" w:type="dxa"/>
            </w:tcMar>
            <w:vAlign w:val="center"/>
          </w:tcPr>
          <w:p w14:paraId="4ABD5A02" w14:textId="7A9FEC55" w:rsidR="00D7420B" w:rsidRPr="0063006E" w:rsidRDefault="00D7420B" w:rsidP="006A1B70">
            <w:pPr>
              <w:jc w:val="right"/>
              <w:rPr>
                <w:rFonts w:eastAsia="Times New Roman" w:cs="Calibri"/>
                <w:b/>
                <w:color w:val="000000"/>
                <w:sz w:val="20"/>
                <w:szCs w:val="22"/>
                <w:lang w:val="es-CO" w:eastAsia="es-CO"/>
              </w:rPr>
            </w:pPr>
            <w:r w:rsidRPr="0063006E">
              <w:rPr>
                <w:rFonts w:eastAsia="Times New Roman" w:cs="Calibri"/>
                <w:color w:val="000000"/>
                <w:sz w:val="20"/>
                <w:szCs w:val="22"/>
                <w:lang w:val="es-CO" w:eastAsia="es-CO"/>
              </w:rPr>
              <w:t>Planta vigente JEP</w:t>
            </w:r>
          </w:p>
        </w:tc>
        <w:tc>
          <w:tcPr>
            <w:tcW w:w="1432" w:type="pct"/>
            <w:shd w:val="clear" w:color="auto" w:fill="auto"/>
            <w:tcMar>
              <w:top w:w="15" w:type="dxa"/>
              <w:left w:w="52" w:type="dxa"/>
              <w:bottom w:w="0" w:type="dxa"/>
              <w:right w:w="52" w:type="dxa"/>
            </w:tcMar>
            <w:vAlign w:val="center"/>
          </w:tcPr>
          <w:p w14:paraId="5D32CE39" w14:textId="5629203F" w:rsidR="00D7420B" w:rsidRPr="0063006E" w:rsidRDefault="00D7420B" w:rsidP="00D7420B">
            <w:pPr>
              <w:jc w:val="center"/>
              <w:rPr>
                <w:rFonts w:eastAsia="Times New Roman" w:cs="Calibri"/>
                <w:b/>
                <w:color w:val="000000"/>
                <w:sz w:val="20"/>
                <w:szCs w:val="22"/>
                <w:lang w:val="es-CO" w:eastAsia="es-CO"/>
              </w:rPr>
            </w:pPr>
            <w:r w:rsidRPr="0063006E">
              <w:rPr>
                <w:rFonts w:eastAsia="Times New Roman" w:cs="Calibri"/>
                <w:color w:val="000000"/>
                <w:sz w:val="20"/>
                <w:szCs w:val="22"/>
                <w:lang w:val="es-CO" w:eastAsia="es-CO"/>
              </w:rPr>
              <w:t>$</w:t>
            </w:r>
            <w:r w:rsidR="0059013B" w:rsidRPr="0059013B">
              <w:rPr>
                <w:rFonts w:eastAsia="Times New Roman" w:cs="Calibri"/>
                <w:color w:val="000000"/>
                <w:sz w:val="20"/>
                <w:szCs w:val="22"/>
                <w:lang w:val="es-CO" w:eastAsia="es-CO"/>
              </w:rPr>
              <w:t>229.148.713</w:t>
            </w:r>
          </w:p>
        </w:tc>
        <w:tc>
          <w:tcPr>
            <w:tcW w:w="1048" w:type="pct"/>
            <w:vMerge/>
            <w:vAlign w:val="center"/>
          </w:tcPr>
          <w:p w14:paraId="011E5633" w14:textId="77777777" w:rsidR="00D7420B" w:rsidRPr="005B6621" w:rsidRDefault="00D7420B" w:rsidP="00D7420B">
            <w:pPr>
              <w:jc w:val="center"/>
              <w:rPr>
                <w:sz w:val="20"/>
                <w:szCs w:val="20"/>
                <w:lang w:val="es-CO"/>
              </w:rPr>
            </w:pPr>
          </w:p>
        </w:tc>
        <w:tc>
          <w:tcPr>
            <w:tcW w:w="1021" w:type="pct"/>
            <w:vMerge/>
            <w:vAlign w:val="center"/>
          </w:tcPr>
          <w:p w14:paraId="03DD8ED0" w14:textId="77777777" w:rsidR="00D7420B" w:rsidRPr="005B6621" w:rsidRDefault="00D7420B" w:rsidP="00D7420B">
            <w:pPr>
              <w:jc w:val="center"/>
              <w:rPr>
                <w:sz w:val="20"/>
                <w:szCs w:val="20"/>
                <w:lang w:val="es-CO"/>
              </w:rPr>
            </w:pPr>
          </w:p>
        </w:tc>
      </w:tr>
      <w:tr w:rsidR="00D7420B" w:rsidRPr="005B6621" w14:paraId="67B35A8B" w14:textId="77777777" w:rsidTr="0059013B">
        <w:trPr>
          <w:trHeight w:val="652"/>
          <w:jc w:val="center"/>
        </w:trPr>
        <w:tc>
          <w:tcPr>
            <w:tcW w:w="1499" w:type="pct"/>
            <w:shd w:val="clear" w:color="auto" w:fill="D9D9D9"/>
            <w:tcMar>
              <w:top w:w="15" w:type="dxa"/>
              <w:left w:w="52" w:type="dxa"/>
              <w:bottom w:w="0" w:type="dxa"/>
              <w:right w:w="52" w:type="dxa"/>
            </w:tcMar>
            <w:vAlign w:val="center"/>
            <w:hideMark/>
          </w:tcPr>
          <w:p w14:paraId="4D41F809" w14:textId="77777777" w:rsidR="00D7420B" w:rsidRPr="005B6621" w:rsidRDefault="00D7420B" w:rsidP="006A1B70">
            <w:pPr>
              <w:jc w:val="center"/>
              <w:rPr>
                <w:sz w:val="20"/>
                <w:szCs w:val="20"/>
                <w:lang w:val="es-CO"/>
              </w:rPr>
            </w:pPr>
            <w:r w:rsidRPr="005B6621">
              <w:rPr>
                <w:b/>
                <w:bCs/>
                <w:sz w:val="20"/>
                <w:szCs w:val="20"/>
                <w:lang w:val="es-CO"/>
              </w:rPr>
              <w:t>Adquisición de bienes y servicios</w:t>
            </w:r>
          </w:p>
        </w:tc>
        <w:tc>
          <w:tcPr>
            <w:tcW w:w="1432" w:type="pct"/>
            <w:shd w:val="clear" w:color="auto" w:fill="D9D9D9"/>
            <w:tcMar>
              <w:top w:w="15" w:type="dxa"/>
              <w:left w:w="52" w:type="dxa"/>
              <w:bottom w:w="0" w:type="dxa"/>
              <w:right w:w="52" w:type="dxa"/>
            </w:tcMar>
            <w:vAlign w:val="center"/>
            <w:hideMark/>
          </w:tcPr>
          <w:p w14:paraId="76D54530" w14:textId="751DCD36" w:rsidR="00D7420B" w:rsidRPr="005B6621" w:rsidRDefault="00D7420B" w:rsidP="006A1B70">
            <w:pPr>
              <w:jc w:val="center"/>
              <w:rPr>
                <w:sz w:val="20"/>
                <w:szCs w:val="20"/>
                <w:lang w:val="es-CO"/>
              </w:rPr>
            </w:pPr>
            <w:r w:rsidRPr="005B6621">
              <w:rPr>
                <w:b/>
                <w:bCs/>
                <w:sz w:val="20"/>
                <w:szCs w:val="20"/>
                <w:lang w:val="es-CO"/>
              </w:rPr>
              <w:t>$35.322.089.990</w:t>
            </w:r>
          </w:p>
        </w:tc>
        <w:tc>
          <w:tcPr>
            <w:tcW w:w="1048" w:type="pct"/>
            <w:vMerge/>
            <w:vAlign w:val="center"/>
            <w:hideMark/>
          </w:tcPr>
          <w:p w14:paraId="47072290" w14:textId="77777777" w:rsidR="00D7420B" w:rsidRPr="005B6621" w:rsidRDefault="00D7420B" w:rsidP="006A1B70">
            <w:pPr>
              <w:jc w:val="center"/>
              <w:rPr>
                <w:sz w:val="20"/>
                <w:szCs w:val="20"/>
                <w:lang w:val="es-CO"/>
              </w:rPr>
            </w:pPr>
          </w:p>
        </w:tc>
        <w:tc>
          <w:tcPr>
            <w:tcW w:w="1021" w:type="pct"/>
            <w:vMerge/>
            <w:vAlign w:val="center"/>
            <w:hideMark/>
          </w:tcPr>
          <w:p w14:paraId="77C5B916" w14:textId="77777777" w:rsidR="00D7420B" w:rsidRPr="005B6621" w:rsidRDefault="00D7420B" w:rsidP="006A1B70">
            <w:pPr>
              <w:jc w:val="center"/>
              <w:rPr>
                <w:sz w:val="20"/>
                <w:szCs w:val="20"/>
                <w:lang w:val="es-CO"/>
              </w:rPr>
            </w:pPr>
          </w:p>
        </w:tc>
      </w:tr>
      <w:tr w:rsidR="00D7420B" w:rsidRPr="005B6621" w14:paraId="20526972" w14:textId="77777777" w:rsidTr="0059013B">
        <w:trPr>
          <w:trHeight w:val="326"/>
          <w:jc w:val="center"/>
        </w:trPr>
        <w:tc>
          <w:tcPr>
            <w:tcW w:w="1499" w:type="pct"/>
            <w:shd w:val="clear" w:color="auto" w:fill="D9D9D9"/>
            <w:tcMar>
              <w:top w:w="15" w:type="dxa"/>
              <w:left w:w="52" w:type="dxa"/>
              <w:bottom w:w="0" w:type="dxa"/>
              <w:right w:w="52" w:type="dxa"/>
            </w:tcMar>
            <w:vAlign w:val="center"/>
            <w:hideMark/>
          </w:tcPr>
          <w:p w14:paraId="66A5838D" w14:textId="77777777" w:rsidR="00D7420B" w:rsidRPr="005B6621" w:rsidRDefault="00D7420B" w:rsidP="006A1B70">
            <w:pPr>
              <w:jc w:val="center"/>
              <w:rPr>
                <w:sz w:val="20"/>
                <w:szCs w:val="20"/>
                <w:lang w:val="es-CO"/>
              </w:rPr>
            </w:pPr>
            <w:r w:rsidRPr="005B6621">
              <w:rPr>
                <w:b/>
                <w:bCs/>
                <w:sz w:val="20"/>
                <w:szCs w:val="20"/>
                <w:lang w:val="es-CO"/>
              </w:rPr>
              <w:t>Cuota auditaje</w:t>
            </w:r>
          </w:p>
        </w:tc>
        <w:tc>
          <w:tcPr>
            <w:tcW w:w="1432" w:type="pct"/>
            <w:shd w:val="clear" w:color="auto" w:fill="D9D9D9"/>
            <w:tcMar>
              <w:top w:w="15" w:type="dxa"/>
              <w:left w:w="52" w:type="dxa"/>
              <w:bottom w:w="0" w:type="dxa"/>
              <w:right w:w="52" w:type="dxa"/>
            </w:tcMar>
            <w:vAlign w:val="center"/>
            <w:hideMark/>
          </w:tcPr>
          <w:p w14:paraId="76B49821" w14:textId="4324E44D" w:rsidR="00D7420B" w:rsidRPr="005B6621" w:rsidRDefault="00D7420B" w:rsidP="006A1B70">
            <w:pPr>
              <w:jc w:val="center"/>
              <w:rPr>
                <w:sz w:val="20"/>
                <w:szCs w:val="20"/>
                <w:lang w:val="es-CO"/>
              </w:rPr>
            </w:pPr>
            <w:r w:rsidRPr="005B6621">
              <w:rPr>
                <w:b/>
                <w:bCs/>
                <w:sz w:val="20"/>
                <w:szCs w:val="20"/>
                <w:lang w:val="es-CO"/>
              </w:rPr>
              <w:t>$404.000.000</w:t>
            </w:r>
          </w:p>
        </w:tc>
        <w:tc>
          <w:tcPr>
            <w:tcW w:w="1048" w:type="pct"/>
            <w:vMerge/>
            <w:vAlign w:val="center"/>
            <w:hideMark/>
          </w:tcPr>
          <w:p w14:paraId="07A88CA9" w14:textId="77777777" w:rsidR="00D7420B" w:rsidRPr="005B6621" w:rsidRDefault="00D7420B" w:rsidP="006A1B70">
            <w:pPr>
              <w:jc w:val="center"/>
              <w:rPr>
                <w:sz w:val="20"/>
                <w:szCs w:val="20"/>
                <w:lang w:val="es-CO"/>
              </w:rPr>
            </w:pPr>
          </w:p>
        </w:tc>
        <w:tc>
          <w:tcPr>
            <w:tcW w:w="1021" w:type="pct"/>
            <w:vMerge/>
            <w:vAlign w:val="center"/>
            <w:hideMark/>
          </w:tcPr>
          <w:p w14:paraId="6828D635" w14:textId="77777777" w:rsidR="00D7420B" w:rsidRPr="005B6621" w:rsidRDefault="00D7420B" w:rsidP="006A1B70">
            <w:pPr>
              <w:jc w:val="center"/>
              <w:rPr>
                <w:sz w:val="20"/>
                <w:szCs w:val="20"/>
                <w:lang w:val="es-CO"/>
              </w:rPr>
            </w:pPr>
          </w:p>
        </w:tc>
      </w:tr>
      <w:tr w:rsidR="00D7420B" w:rsidRPr="005B6621" w14:paraId="10F8A0F2" w14:textId="77777777" w:rsidTr="006A1B70">
        <w:trPr>
          <w:trHeight w:val="445"/>
          <w:jc w:val="center"/>
        </w:trPr>
        <w:tc>
          <w:tcPr>
            <w:tcW w:w="1499" w:type="pct"/>
            <w:shd w:val="clear" w:color="auto" w:fill="D9E1F2"/>
            <w:tcMar>
              <w:top w:w="15" w:type="dxa"/>
              <w:left w:w="52" w:type="dxa"/>
              <w:bottom w:w="0" w:type="dxa"/>
              <w:right w:w="52" w:type="dxa"/>
            </w:tcMar>
            <w:vAlign w:val="center"/>
            <w:hideMark/>
          </w:tcPr>
          <w:p w14:paraId="14A3EFB2" w14:textId="77777777" w:rsidR="00D7420B" w:rsidRPr="005B6621" w:rsidRDefault="00D7420B" w:rsidP="006A1B70">
            <w:pPr>
              <w:jc w:val="center"/>
              <w:rPr>
                <w:sz w:val="20"/>
                <w:szCs w:val="20"/>
                <w:lang w:val="es-CO"/>
              </w:rPr>
            </w:pPr>
            <w:r w:rsidRPr="005B6621">
              <w:rPr>
                <w:b/>
                <w:bCs/>
                <w:sz w:val="20"/>
                <w:szCs w:val="20"/>
                <w:lang w:val="es-CO"/>
              </w:rPr>
              <w:t>Inversión</w:t>
            </w:r>
          </w:p>
        </w:tc>
        <w:tc>
          <w:tcPr>
            <w:tcW w:w="1432" w:type="pct"/>
            <w:shd w:val="clear" w:color="auto" w:fill="D9E1F2"/>
            <w:tcMar>
              <w:top w:w="15" w:type="dxa"/>
              <w:left w:w="52" w:type="dxa"/>
              <w:bottom w:w="0" w:type="dxa"/>
              <w:right w:w="52" w:type="dxa"/>
            </w:tcMar>
            <w:vAlign w:val="center"/>
            <w:hideMark/>
          </w:tcPr>
          <w:p w14:paraId="702F2966" w14:textId="79573F00" w:rsidR="00D7420B" w:rsidRPr="005B6621" w:rsidRDefault="00D7420B" w:rsidP="006A1B70">
            <w:pPr>
              <w:jc w:val="center"/>
              <w:rPr>
                <w:sz w:val="20"/>
                <w:szCs w:val="20"/>
                <w:lang w:val="es-CO"/>
              </w:rPr>
            </w:pPr>
            <w:r w:rsidRPr="005B6621">
              <w:rPr>
                <w:b/>
                <w:bCs/>
                <w:sz w:val="20"/>
                <w:szCs w:val="20"/>
                <w:lang w:val="es-CO"/>
              </w:rPr>
              <w:t>$199.087.350.196</w:t>
            </w:r>
          </w:p>
        </w:tc>
        <w:tc>
          <w:tcPr>
            <w:tcW w:w="2069" w:type="pct"/>
            <w:gridSpan w:val="2"/>
            <w:shd w:val="clear" w:color="auto" w:fill="D9E1F2"/>
            <w:tcMar>
              <w:top w:w="15" w:type="dxa"/>
              <w:left w:w="52" w:type="dxa"/>
              <w:bottom w:w="0" w:type="dxa"/>
              <w:right w:w="52" w:type="dxa"/>
            </w:tcMar>
            <w:vAlign w:val="center"/>
            <w:hideMark/>
          </w:tcPr>
          <w:p w14:paraId="4B90201C" w14:textId="013C8CCF" w:rsidR="00D7420B" w:rsidRPr="005B6621" w:rsidRDefault="00C118AF" w:rsidP="006A1B70">
            <w:pPr>
              <w:jc w:val="center"/>
              <w:rPr>
                <w:sz w:val="20"/>
                <w:szCs w:val="20"/>
                <w:lang w:val="es-CO"/>
              </w:rPr>
            </w:pPr>
            <w:r>
              <w:rPr>
                <w:b/>
                <w:bCs/>
                <w:sz w:val="20"/>
                <w:szCs w:val="20"/>
                <w:lang w:val="es-CO"/>
              </w:rPr>
              <w:t>Gasto de i</w:t>
            </w:r>
            <w:r w:rsidR="00D7420B" w:rsidRPr="005B6621">
              <w:rPr>
                <w:b/>
                <w:bCs/>
                <w:sz w:val="20"/>
                <w:szCs w:val="20"/>
                <w:lang w:val="es-CO"/>
              </w:rPr>
              <w:t>nversión</w:t>
            </w:r>
          </w:p>
        </w:tc>
      </w:tr>
      <w:tr w:rsidR="00D7420B" w:rsidRPr="005B6621" w14:paraId="0D0DC261"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2D432D1F" w14:textId="08719465" w:rsidR="00D7420B" w:rsidRPr="005B6621" w:rsidRDefault="00D7420B" w:rsidP="006A1B70">
            <w:pPr>
              <w:jc w:val="right"/>
              <w:rPr>
                <w:sz w:val="20"/>
                <w:szCs w:val="20"/>
                <w:lang w:val="es-CO"/>
              </w:rPr>
            </w:pPr>
            <w:r w:rsidRPr="005B6621">
              <w:rPr>
                <w:sz w:val="20"/>
                <w:szCs w:val="20"/>
                <w:lang w:val="es-CO"/>
              </w:rPr>
              <w:t>Sedes</w:t>
            </w:r>
          </w:p>
        </w:tc>
        <w:tc>
          <w:tcPr>
            <w:tcW w:w="1432" w:type="pct"/>
            <w:shd w:val="clear" w:color="auto" w:fill="auto"/>
            <w:tcMar>
              <w:top w:w="15" w:type="dxa"/>
              <w:left w:w="52" w:type="dxa"/>
              <w:bottom w:w="0" w:type="dxa"/>
              <w:right w:w="52" w:type="dxa"/>
            </w:tcMar>
            <w:vAlign w:val="center"/>
            <w:hideMark/>
          </w:tcPr>
          <w:p w14:paraId="0526C380" w14:textId="77777777" w:rsidR="00D7420B" w:rsidRPr="005B6621" w:rsidRDefault="00D7420B" w:rsidP="006A1B70">
            <w:pPr>
              <w:jc w:val="center"/>
              <w:rPr>
                <w:sz w:val="20"/>
                <w:szCs w:val="20"/>
                <w:lang w:val="es-CO"/>
              </w:rPr>
            </w:pPr>
            <w:r w:rsidRPr="005B6621">
              <w:rPr>
                <w:sz w:val="20"/>
                <w:szCs w:val="20"/>
                <w:lang w:val="es-CO"/>
              </w:rPr>
              <w:t>$515.346.664</w:t>
            </w:r>
          </w:p>
        </w:tc>
        <w:tc>
          <w:tcPr>
            <w:tcW w:w="1048" w:type="pct"/>
            <w:vMerge w:val="restart"/>
            <w:shd w:val="clear" w:color="auto" w:fill="EDEDED"/>
            <w:tcMar>
              <w:top w:w="15" w:type="dxa"/>
              <w:left w:w="52" w:type="dxa"/>
              <w:bottom w:w="0" w:type="dxa"/>
              <w:right w:w="52" w:type="dxa"/>
            </w:tcMar>
            <w:vAlign w:val="center"/>
            <w:hideMark/>
          </w:tcPr>
          <w:p w14:paraId="56A1AB5B" w14:textId="77777777" w:rsidR="00D7420B" w:rsidRPr="005B6621" w:rsidRDefault="00D7420B" w:rsidP="006A1B70">
            <w:pPr>
              <w:jc w:val="center"/>
              <w:rPr>
                <w:sz w:val="20"/>
                <w:szCs w:val="20"/>
                <w:lang w:val="es-CO"/>
              </w:rPr>
            </w:pPr>
            <w:r w:rsidRPr="005B6621">
              <w:rPr>
                <w:b/>
                <w:bCs/>
                <w:sz w:val="20"/>
                <w:szCs w:val="20"/>
                <w:lang w:val="es-CO"/>
              </w:rPr>
              <w:t>$79.304.330.167</w:t>
            </w:r>
          </w:p>
        </w:tc>
        <w:tc>
          <w:tcPr>
            <w:tcW w:w="1021" w:type="pct"/>
            <w:vMerge w:val="restart"/>
            <w:shd w:val="clear" w:color="auto" w:fill="EDEDED"/>
            <w:tcMar>
              <w:top w:w="15" w:type="dxa"/>
              <w:left w:w="52" w:type="dxa"/>
              <w:bottom w:w="0" w:type="dxa"/>
              <w:right w:w="52" w:type="dxa"/>
            </w:tcMar>
            <w:vAlign w:val="center"/>
            <w:hideMark/>
          </w:tcPr>
          <w:p w14:paraId="13379C5A" w14:textId="77777777" w:rsidR="00D7420B" w:rsidRPr="005B6621" w:rsidRDefault="00D7420B" w:rsidP="006A1B70">
            <w:pPr>
              <w:jc w:val="center"/>
              <w:rPr>
                <w:sz w:val="20"/>
                <w:szCs w:val="20"/>
                <w:lang w:val="es-CO"/>
              </w:rPr>
            </w:pPr>
            <w:r w:rsidRPr="005B6621">
              <w:rPr>
                <w:b/>
                <w:bCs/>
                <w:sz w:val="20"/>
                <w:szCs w:val="20"/>
                <w:lang w:val="es-CO"/>
              </w:rPr>
              <w:t>-$119.783.020.029</w:t>
            </w:r>
          </w:p>
          <w:p w14:paraId="5775D773" w14:textId="77777777" w:rsidR="00D7420B" w:rsidRPr="005B6621" w:rsidRDefault="00D7420B" w:rsidP="006A1B70">
            <w:pPr>
              <w:jc w:val="center"/>
              <w:rPr>
                <w:sz w:val="20"/>
                <w:szCs w:val="20"/>
                <w:lang w:val="es-CO"/>
              </w:rPr>
            </w:pPr>
            <w:r w:rsidRPr="005B6621">
              <w:rPr>
                <w:b/>
                <w:bCs/>
                <w:sz w:val="20"/>
                <w:szCs w:val="20"/>
                <w:lang w:val="es-CO"/>
              </w:rPr>
              <w:t>(-151,04%)</w:t>
            </w:r>
          </w:p>
        </w:tc>
      </w:tr>
      <w:tr w:rsidR="00D7420B" w:rsidRPr="005B6621" w14:paraId="630BD623"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63E6B9A2" w14:textId="08568EB5" w:rsidR="00D7420B" w:rsidRPr="005B6621" w:rsidRDefault="00D7420B" w:rsidP="006A1B70">
            <w:pPr>
              <w:jc w:val="right"/>
              <w:rPr>
                <w:sz w:val="20"/>
                <w:szCs w:val="20"/>
                <w:lang w:val="es-CO"/>
              </w:rPr>
            </w:pPr>
            <w:r w:rsidRPr="005B6621">
              <w:rPr>
                <w:sz w:val="20"/>
                <w:szCs w:val="20"/>
                <w:lang w:val="es-CO"/>
              </w:rPr>
              <w:t>TI</w:t>
            </w:r>
          </w:p>
        </w:tc>
        <w:tc>
          <w:tcPr>
            <w:tcW w:w="1432" w:type="pct"/>
            <w:shd w:val="clear" w:color="auto" w:fill="auto"/>
            <w:tcMar>
              <w:top w:w="15" w:type="dxa"/>
              <w:left w:w="52" w:type="dxa"/>
              <w:bottom w:w="0" w:type="dxa"/>
              <w:right w:w="52" w:type="dxa"/>
            </w:tcMar>
            <w:vAlign w:val="center"/>
            <w:hideMark/>
          </w:tcPr>
          <w:p w14:paraId="256C771C" w14:textId="77777777" w:rsidR="00D7420B" w:rsidRPr="005B6621" w:rsidRDefault="00D7420B" w:rsidP="006A1B70">
            <w:pPr>
              <w:jc w:val="center"/>
              <w:rPr>
                <w:sz w:val="20"/>
                <w:szCs w:val="20"/>
                <w:lang w:val="es-CO"/>
              </w:rPr>
            </w:pPr>
            <w:r w:rsidRPr="005B6621">
              <w:rPr>
                <w:sz w:val="20"/>
                <w:szCs w:val="20"/>
                <w:lang w:val="es-CO"/>
              </w:rPr>
              <w:t>$13.570.016.526</w:t>
            </w:r>
          </w:p>
        </w:tc>
        <w:tc>
          <w:tcPr>
            <w:tcW w:w="1048" w:type="pct"/>
            <w:vMerge/>
            <w:vAlign w:val="center"/>
            <w:hideMark/>
          </w:tcPr>
          <w:p w14:paraId="35E2FD15" w14:textId="77777777" w:rsidR="00D7420B" w:rsidRPr="005B6621" w:rsidRDefault="00D7420B" w:rsidP="006A1B70">
            <w:pPr>
              <w:jc w:val="center"/>
              <w:rPr>
                <w:sz w:val="20"/>
                <w:szCs w:val="20"/>
                <w:lang w:val="es-CO"/>
              </w:rPr>
            </w:pPr>
          </w:p>
        </w:tc>
        <w:tc>
          <w:tcPr>
            <w:tcW w:w="1021" w:type="pct"/>
            <w:vMerge/>
            <w:vAlign w:val="center"/>
            <w:hideMark/>
          </w:tcPr>
          <w:p w14:paraId="6013EA7D" w14:textId="77777777" w:rsidR="00D7420B" w:rsidRPr="005B6621" w:rsidRDefault="00D7420B" w:rsidP="006A1B70">
            <w:pPr>
              <w:jc w:val="center"/>
              <w:rPr>
                <w:sz w:val="20"/>
                <w:szCs w:val="20"/>
                <w:lang w:val="es-CO"/>
              </w:rPr>
            </w:pPr>
          </w:p>
        </w:tc>
      </w:tr>
      <w:tr w:rsidR="00D7420B" w:rsidRPr="005B6621" w14:paraId="4134A81B"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5822FB6B" w14:textId="50305C4D" w:rsidR="00D7420B" w:rsidRPr="005B6621" w:rsidRDefault="00D7420B" w:rsidP="006A1B70">
            <w:pPr>
              <w:jc w:val="right"/>
              <w:rPr>
                <w:sz w:val="20"/>
                <w:szCs w:val="20"/>
                <w:lang w:val="es-CO"/>
              </w:rPr>
            </w:pPr>
            <w:r>
              <w:rPr>
                <w:sz w:val="20"/>
                <w:szCs w:val="20"/>
                <w:lang w:val="es-CO"/>
              </w:rPr>
              <w:t>Dif</w:t>
            </w:r>
            <w:r w:rsidRPr="005B6621">
              <w:rPr>
                <w:sz w:val="20"/>
                <w:szCs w:val="20"/>
                <w:lang w:val="es-CO"/>
              </w:rPr>
              <w:t>usión</w:t>
            </w:r>
          </w:p>
        </w:tc>
        <w:tc>
          <w:tcPr>
            <w:tcW w:w="1432" w:type="pct"/>
            <w:shd w:val="clear" w:color="auto" w:fill="auto"/>
            <w:tcMar>
              <w:top w:w="15" w:type="dxa"/>
              <w:left w:w="52" w:type="dxa"/>
              <w:bottom w:w="0" w:type="dxa"/>
              <w:right w:w="52" w:type="dxa"/>
            </w:tcMar>
            <w:vAlign w:val="center"/>
            <w:hideMark/>
          </w:tcPr>
          <w:p w14:paraId="511417A1" w14:textId="77777777" w:rsidR="00D7420B" w:rsidRPr="005B6621" w:rsidRDefault="00D7420B" w:rsidP="006A1B70">
            <w:pPr>
              <w:jc w:val="center"/>
              <w:rPr>
                <w:sz w:val="20"/>
                <w:szCs w:val="20"/>
                <w:lang w:val="es-CO"/>
              </w:rPr>
            </w:pPr>
            <w:r w:rsidRPr="005B6621">
              <w:rPr>
                <w:sz w:val="20"/>
                <w:szCs w:val="20"/>
                <w:lang w:val="es-CO"/>
              </w:rPr>
              <w:t>$2.704.181.768</w:t>
            </w:r>
          </w:p>
        </w:tc>
        <w:tc>
          <w:tcPr>
            <w:tcW w:w="1048" w:type="pct"/>
            <w:vMerge/>
            <w:vAlign w:val="center"/>
            <w:hideMark/>
          </w:tcPr>
          <w:p w14:paraId="1C2E8023" w14:textId="77777777" w:rsidR="00D7420B" w:rsidRPr="005B6621" w:rsidRDefault="00D7420B" w:rsidP="006A1B70">
            <w:pPr>
              <w:jc w:val="center"/>
              <w:rPr>
                <w:sz w:val="20"/>
                <w:szCs w:val="20"/>
                <w:lang w:val="es-CO"/>
              </w:rPr>
            </w:pPr>
          </w:p>
        </w:tc>
        <w:tc>
          <w:tcPr>
            <w:tcW w:w="1021" w:type="pct"/>
            <w:vMerge/>
            <w:vAlign w:val="center"/>
            <w:hideMark/>
          </w:tcPr>
          <w:p w14:paraId="3EF6842C" w14:textId="77777777" w:rsidR="00D7420B" w:rsidRPr="005B6621" w:rsidRDefault="00D7420B" w:rsidP="006A1B70">
            <w:pPr>
              <w:jc w:val="center"/>
              <w:rPr>
                <w:sz w:val="20"/>
                <w:szCs w:val="20"/>
                <w:lang w:val="es-CO"/>
              </w:rPr>
            </w:pPr>
          </w:p>
        </w:tc>
      </w:tr>
      <w:tr w:rsidR="00D7420B" w:rsidRPr="005B6621" w14:paraId="542BE0B3"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1C21EF39" w14:textId="741AD4BF" w:rsidR="00D7420B" w:rsidRPr="005B6621" w:rsidRDefault="00D7420B" w:rsidP="006A1B70">
            <w:pPr>
              <w:jc w:val="right"/>
              <w:rPr>
                <w:sz w:val="20"/>
                <w:szCs w:val="20"/>
                <w:lang w:val="es-CO"/>
              </w:rPr>
            </w:pPr>
            <w:r w:rsidRPr="005B6621">
              <w:rPr>
                <w:sz w:val="20"/>
                <w:szCs w:val="20"/>
                <w:lang w:val="es-CO"/>
              </w:rPr>
              <w:t>Protección</w:t>
            </w:r>
          </w:p>
        </w:tc>
        <w:tc>
          <w:tcPr>
            <w:tcW w:w="1432" w:type="pct"/>
            <w:shd w:val="clear" w:color="auto" w:fill="auto"/>
            <w:tcMar>
              <w:top w:w="15" w:type="dxa"/>
              <w:left w:w="52" w:type="dxa"/>
              <w:bottom w:w="0" w:type="dxa"/>
              <w:right w:w="52" w:type="dxa"/>
            </w:tcMar>
            <w:vAlign w:val="center"/>
            <w:hideMark/>
          </w:tcPr>
          <w:p w14:paraId="5CE32842" w14:textId="2318EBD2" w:rsidR="00D7420B" w:rsidRPr="005B6621" w:rsidRDefault="00D7420B" w:rsidP="006A1B70">
            <w:pPr>
              <w:jc w:val="center"/>
              <w:rPr>
                <w:sz w:val="20"/>
                <w:szCs w:val="20"/>
                <w:lang w:val="es-CO"/>
              </w:rPr>
            </w:pPr>
            <w:r w:rsidRPr="005B6621">
              <w:rPr>
                <w:sz w:val="20"/>
                <w:szCs w:val="20"/>
                <w:lang w:val="es-CO"/>
              </w:rPr>
              <w:t>$67.253.582.422</w:t>
            </w:r>
          </w:p>
        </w:tc>
        <w:tc>
          <w:tcPr>
            <w:tcW w:w="1048" w:type="pct"/>
            <w:vMerge/>
            <w:vAlign w:val="center"/>
            <w:hideMark/>
          </w:tcPr>
          <w:p w14:paraId="5195241A" w14:textId="77777777" w:rsidR="00D7420B" w:rsidRPr="005B6621" w:rsidRDefault="00D7420B" w:rsidP="006A1B70">
            <w:pPr>
              <w:jc w:val="center"/>
              <w:rPr>
                <w:sz w:val="20"/>
                <w:szCs w:val="20"/>
                <w:lang w:val="es-CO"/>
              </w:rPr>
            </w:pPr>
          </w:p>
        </w:tc>
        <w:tc>
          <w:tcPr>
            <w:tcW w:w="1021" w:type="pct"/>
            <w:vMerge/>
            <w:vAlign w:val="center"/>
            <w:hideMark/>
          </w:tcPr>
          <w:p w14:paraId="6196C7F8" w14:textId="77777777" w:rsidR="00D7420B" w:rsidRPr="005B6621" w:rsidRDefault="00D7420B" w:rsidP="006A1B70">
            <w:pPr>
              <w:jc w:val="center"/>
              <w:rPr>
                <w:sz w:val="20"/>
                <w:szCs w:val="20"/>
                <w:lang w:val="es-CO"/>
              </w:rPr>
            </w:pPr>
          </w:p>
        </w:tc>
      </w:tr>
      <w:tr w:rsidR="00D7420B" w:rsidRPr="005B6621" w14:paraId="00EA0C0D"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3258158F" w14:textId="1C5EA48D" w:rsidR="00D7420B" w:rsidRPr="005B6621" w:rsidRDefault="00D7420B" w:rsidP="006A1B70">
            <w:pPr>
              <w:jc w:val="right"/>
              <w:rPr>
                <w:sz w:val="20"/>
                <w:szCs w:val="20"/>
                <w:lang w:val="es-CO"/>
              </w:rPr>
            </w:pPr>
            <w:r w:rsidRPr="005B6621">
              <w:rPr>
                <w:sz w:val="20"/>
                <w:szCs w:val="20"/>
                <w:lang w:val="es-CO"/>
              </w:rPr>
              <w:t>Justicia</w:t>
            </w:r>
          </w:p>
        </w:tc>
        <w:tc>
          <w:tcPr>
            <w:tcW w:w="1432" w:type="pct"/>
            <w:shd w:val="clear" w:color="auto" w:fill="auto"/>
            <w:tcMar>
              <w:top w:w="15" w:type="dxa"/>
              <w:left w:w="52" w:type="dxa"/>
              <w:bottom w:w="0" w:type="dxa"/>
              <w:right w:w="52" w:type="dxa"/>
            </w:tcMar>
            <w:vAlign w:val="center"/>
            <w:hideMark/>
          </w:tcPr>
          <w:p w14:paraId="783FE351" w14:textId="77777777" w:rsidR="00D7420B" w:rsidRPr="005B6621" w:rsidRDefault="00D7420B" w:rsidP="006A1B70">
            <w:pPr>
              <w:jc w:val="center"/>
              <w:rPr>
                <w:sz w:val="20"/>
                <w:szCs w:val="20"/>
                <w:lang w:val="es-CO"/>
              </w:rPr>
            </w:pPr>
            <w:r w:rsidRPr="005B6621">
              <w:rPr>
                <w:sz w:val="20"/>
                <w:szCs w:val="20"/>
                <w:lang w:val="es-CO"/>
              </w:rPr>
              <w:t>$106.091.432.556</w:t>
            </w:r>
          </w:p>
        </w:tc>
        <w:tc>
          <w:tcPr>
            <w:tcW w:w="1048" w:type="pct"/>
            <w:vMerge/>
            <w:vAlign w:val="center"/>
            <w:hideMark/>
          </w:tcPr>
          <w:p w14:paraId="1D814389" w14:textId="77777777" w:rsidR="00D7420B" w:rsidRPr="005B6621" w:rsidRDefault="00D7420B" w:rsidP="006A1B70">
            <w:pPr>
              <w:jc w:val="center"/>
              <w:rPr>
                <w:sz w:val="20"/>
                <w:szCs w:val="20"/>
                <w:lang w:val="es-CO"/>
              </w:rPr>
            </w:pPr>
          </w:p>
        </w:tc>
        <w:tc>
          <w:tcPr>
            <w:tcW w:w="1021" w:type="pct"/>
            <w:vMerge/>
            <w:vAlign w:val="center"/>
            <w:hideMark/>
          </w:tcPr>
          <w:p w14:paraId="0308989E" w14:textId="77777777" w:rsidR="00D7420B" w:rsidRPr="005B6621" w:rsidRDefault="00D7420B" w:rsidP="006A1B70">
            <w:pPr>
              <w:jc w:val="center"/>
              <w:rPr>
                <w:sz w:val="20"/>
                <w:szCs w:val="20"/>
                <w:lang w:val="es-CO"/>
              </w:rPr>
            </w:pPr>
          </w:p>
        </w:tc>
      </w:tr>
      <w:tr w:rsidR="00D7420B" w:rsidRPr="005B6621" w14:paraId="357FAC71" w14:textId="77777777" w:rsidTr="006A1B70">
        <w:trPr>
          <w:trHeight w:val="340"/>
          <w:jc w:val="center"/>
        </w:trPr>
        <w:tc>
          <w:tcPr>
            <w:tcW w:w="1499" w:type="pct"/>
            <w:shd w:val="clear" w:color="auto" w:fill="auto"/>
            <w:tcMar>
              <w:top w:w="15" w:type="dxa"/>
              <w:left w:w="52" w:type="dxa"/>
              <w:bottom w:w="0" w:type="dxa"/>
              <w:right w:w="52" w:type="dxa"/>
            </w:tcMar>
            <w:vAlign w:val="center"/>
            <w:hideMark/>
          </w:tcPr>
          <w:p w14:paraId="2DDD0725" w14:textId="5C3484F8" w:rsidR="00D7420B" w:rsidRPr="005B6621" w:rsidRDefault="00D7420B" w:rsidP="006A1B70">
            <w:pPr>
              <w:jc w:val="right"/>
              <w:rPr>
                <w:sz w:val="20"/>
                <w:szCs w:val="20"/>
                <w:lang w:val="es-CO"/>
              </w:rPr>
            </w:pPr>
            <w:r w:rsidRPr="005B6621">
              <w:rPr>
                <w:sz w:val="20"/>
                <w:szCs w:val="20"/>
                <w:lang w:val="es-CO"/>
              </w:rPr>
              <w:t>Fortalecimiento</w:t>
            </w:r>
          </w:p>
        </w:tc>
        <w:tc>
          <w:tcPr>
            <w:tcW w:w="1432" w:type="pct"/>
            <w:shd w:val="clear" w:color="auto" w:fill="auto"/>
            <w:tcMar>
              <w:top w:w="15" w:type="dxa"/>
              <w:left w:w="52" w:type="dxa"/>
              <w:bottom w:w="0" w:type="dxa"/>
              <w:right w:w="52" w:type="dxa"/>
            </w:tcMar>
            <w:vAlign w:val="center"/>
            <w:hideMark/>
          </w:tcPr>
          <w:p w14:paraId="1367E7AB" w14:textId="77777777" w:rsidR="00D7420B" w:rsidRPr="005B6621" w:rsidRDefault="00D7420B" w:rsidP="006A1B70">
            <w:pPr>
              <w:jc w:val="center"/>
              <w:rPr>
                <w:sz w:val="20"/>
                <w:szCs w:val="20"/>
                <w:lang w:val="es-CO"/>
              </w:rPr>
            </w:pPr>
            <w:r w:rsidRPr="005B6621">
              <w:rPr>
                <w:sz w:val="20"/>
                <w:szCs w:val="20"/>
                <w:lang w:val="es-CO"/>
              </w:rPr>
              <w:t>$8.952.790.260</w:t>
            </w:r>
          </w:p>
        </w:tc>
        <w:tc>
          <w:tcPr>
            <w:tcW w:w="1048" w:type="pct"/>
            <w:vMerge/>
            <w:vAlign w:val="center"/>
            <w:hideMark/>
          </w:tcPr>
          <w:p w14:paraId="74A50820" w14:textId="77777777" w:rsidR="00D7420B" w:rsidRPr="005B6621" w:rsidRDefault="00D7420B" w:rsidP="006A1B70">
            <w:pPr>
              <w:jc w:val="center"/>
              <w:rPr>
                <w:sz w:val="20"/>
                <w:szCs w:val="20"/>
                <w:lang w:val="es-CO"/>
              </w:rPr>
            </w:pPr>
          </w:p>
        </w:tc>
        <w:tc>
          <w:tcPr>
            <w:tcW w:w="1021" w:type="pct"/>
            <w:vMerge/>
            <w:vAlign w:val="center"/>
            <w:hideMark/>
          </w:tcPr>
          <w:p w14:paraId="7A35A3E7" w14:textId="77777777" w:rsidR="00D7420B" w:rsidRPr="005B6621" w:rsidRDefault="00D7420B" w:rsidP="006A1B70">
            <w:pPr>
              <w:jc w:val="center"/>
              <w:rPr>
                <w:sz w:val="20"/>
                <w:szCs w:val="20"/>
                <w:lang w:val="es-CO"/>
              </w:rPr>
            </w:pPr>
          </w:p>
        </w:tc>
      </w:tr>
      <w:tr w:rsidR="00D7420B" w:rsidRPr="005B6621" w14:paraId="45FF1336" w14:textId="77777777" w:rsidTr="008C0549">
        <w:trPr>
          <w:cantSplit/>
          <w:trHeight w:val="362"/>
          <w:jc w:val="center"/>
        </w:trPr>
        <w:tc>
          <w:tcPr>
            <w:tcW w:w="1499" w:type="pct"/>
            <w:shd w:val="clear" w:color="auto" w:fill="002060"/>
            <w:tcMar>
              <w:top w:w="15" w:type="dxa"/>
              <w:left w:w="52" w:type="dxa"/>
              <w:bottom w:w="0" w:type="dxa"/>
              <w:right w:w="52" w:type="dxa"/>
            </w:tcMar>
            <w:vAlign w:val="center"/>
            <w:hideMark/>
          </w:tcPr>
          <w:p w14:paraId="7E074A6E" w14:textId="0AF2A084" w:rsidR="00D7420B" w:rsidRPr="005B6621" w:rsidRDefault="00D7420B" w:rsidP="006A1B70">
            <w:pPr>
              <w:jc w:val="right"/>
              <w:rPr>
                <w:sz w:val="20"/>
                <w:szCs w:val="20"/>
                <w:lang w:val="es-CO"/>
              </w:rPr>
            </w:pPr>
            <w:r w:rsidRPr="005B6621">
              <w:rPr>
                <w:b/>
                <w:bCs/>
                <w:sz w:val="20"/>
                <w:szCs w:val="20"/>
                <w:lang w:val="es-CO"/>
              </w:rPr>
              <w:t>TOTAL</w:t>
            </w:r>
            <w:r>
              <w:rPr>
                <w:b/>
                <w:bCs/>
                <w:sz w:val="20"/>
                <w:szCs w:val="20"/>
                <w:lang w:val="es-CO"/>
              </w:rPr>
              <w:t xml:space="preserve"> </w:t>
            </w:r>
          </w:p>
        </w:tc>
        <w:tc>
          <w:tcPr>
            <w:tcW w:w="1432" w:type="pct"/>
            <w:shd w:val="clear" w:color="auto" w:fill="002060"/>
            <w:tcMar>
              <w:top w:w="15" w:type="dxa"/>
              <w:left w:w="52" w:type="dxa"/>
              <w:bottom w:w="0" w:type="dxa"/>
              <w:right w:w="52" w:type="dxa"/>
            </w:tcMar>
            <w:vAlign w:val="center"/>
            <w:hideMark/>
          </w:tcPr>
          <w:p w14:paraId="78BF66ED" w14:textId="65780D1B" w:rsidR="00D7420B" w:rsidRPr="00BB0C56" w:rsidRDefault="00D7420B" w:rsidP="006A1B70">
            <w:pPr>
              <w:jc w:val="right"/>
              <w:rPr>
                <w:b/>
                <w:sz w:val="20"/>
                <w:szCs w:val="20"/>
                <w:lang w:val="es-CO"/>
              </w:rPr>
            </w:pPr>
            <w:r w:rsidRPr="00BB0C56">
              <w:rPr>
                <w:b/>
                <w:bCs/>
                <w:sz w:val="20"/>
                <w:szCs w:val="20"/>
              </w:rPr>
              <w:t>$417.529.427.692</w:t>
            </w:r>
          </w:p>
        </w:tc>
        <w:tc>
          <w:tcPr>
            <w:tcW w:w="1048" w:type="pct"/>
            <w:shd w:val="clear" w:color="auto" w:fill="002060"/>
            <w:tcMar>
              <w:top w:w="15" w:type="dxa"/>
              <w:left w:w="52" w:type="dxa"/>
              <w:bottom w:w="0" w:type="dxa"/>
              <w:right w:w="52" w:type="dxa"/>
            </w:tcMar>
            <w:vAlign w:val="center"/>
            <w:hideMark/>
          </w:tcPr>
          <w:p w14:paraId="49FC6A04" w14:textId="77777777" w:rsidR="00D7420B" w:rsidRPr="005B6621" w:rsidRDefault="00D7420B" w:rsidP="006A1B70">
            <w:pPr>
              <w:jc w:val="center"/>
              <w:rPr>
                <w:sz w:val="20"/>
                <w:szCs w:val="20"/>
                <w:lang w:val="es-CO"/>
              </w:rPr>
            </w:pPr>
            <w:r w:rsidRPr="005B6621">
              <w:rPr>
                <w:b/>
                <w:bCs/>
                <w:sz w:val="20"/>
                <w:szCs w:val="20"/>
                <w:lang w:val="es-CO"/>
              </w:rPr>
              <w:t>$297.746.407.663</w:t>
            </w:r>
          </w:p>
        </w:tc>
        <w:tc>
          <w:tcPr>
            <w:tcW w:w="1021" w:type="pct"/>
            <w:shd w:val="clear" w:color="auto" w:fill="002060"/>
            <w:tcMar>
              <w:top w:w="15" w:type="dxa"/>
              <w:left w:w="52" w:type="dxa"/>
              <w:bottom w:w="0" w:type="dxa"/>
              <w:right w:w="52" w:type="dxa"/>
            </w:tcMar>
            <w:vAlign w:val="center"/>
            <w:hideMark/>
          </w:tcPr>
          <w:p w14:paraId="7441DE24" w14:textId="639767EE" w:rsidR="00D7420B" w:rsidRPr="005B6621" w:rsidRDefault="00D7420B" w:rsidP="006A1B70">
            <w:pPr>
              <w:jc w:val="center"/>
              <w:rPr>
                <w:sz w:val="20"/>
                <w:szCs w:val="20"/>
                <w:lang w:val="es-CO"/>
              </w:rPr>
            </w:pPr>
            <w:r w:rsidRPr="005B6621">
              <w:rPr>
                <w:b/>
                <w:bCs/>
                <w:sz w:val="20"/>
                <w:szCs w:val="20"/>
                <w:lang w:val="es-CO"/>
              </w:rPr>
              <w:t>-$119.783.020.029</w:t>
            </w:r>
          </w:p>
        </w:tc>
      </w:tr>
    </w:tbl>
    <w:p w14:paraId="264E3596" w14:textId="77777777" w:rsidR="00EB35FC" w:rsidRPr="00AE158F" w:rsidRDefault="00EB35FC" w:rsidP="00DB3190">
      <w:pPr>
        <w:jc w:val="both"/>
        <w:rPr>
          <w:sz w:val="22"/>
          <w:szCs w:val="22"/>
          <w:lang w:val="es-CO"/>
        </w:rPr>
      </w:pPr>
    </w:p>
    <w:p w14:paraId="184B0D2A" w14:textId="294DA3BE" w:rsidR="004F107D" w:rsidRPr="00942B99" w:rsidRDefault="004F107D" w:rsidP="00DB3190">
      <w:pPr>
        <w:jc w:val="both"/>
        <w:rPr>
          <w:lang w:val="es-CO"/>
        </w:rPr>
      </w:pPr>
      <w:r w:rsidRPr="00942B99">
        <w:rPr>
          <w:lang w:val="es-CO"/>
        </w:rPr>
        <w:t xml:space="preserve">Es de anotar que el anterior es el escenario con necesidades de la JEP. </w:t>
      </w:r>
      <w:r w:rsidRPr="008C0549">
        <w:rPr>
          <w:lang w:val="es-CO"/>
        </w:rPr>
        <w:t xml:space="preserve">No obstante, en la presentación oficial para el SIIF se carga el escenario ajustado a tope presupuestal por exigencia técnica, advirtiendo la insuficiencia de tales recursos </w:t>
      </w:r>
      <w:r w:rsidR="00C118AF" w:rsidRPr="008C0549">
        <w:rPr>
          <w:lang w:val="es-CO"/>
        </w:rPr>
        <w:t xml:space="preserve">en el gasto de inversión </w:t>
      </w:r>
      <w:r w:rsidRPr="008C0549">
        <w:rPr>
          <w:lang w:val="es-CO"/>
        </w:rPr>
        <w:t xml:space="preserve">para </w:t>
      </w:r>
      <w:r w:rsidR="0048725B" w:rsidRPr="008C0549">
        <w:rPr>
          <w:lang w:val="es-CO"/>
        </w:rPr>
        <w:t xml:space="preserve">apoyar el </w:t>
      </w:r>
      <w:r w:rsidRPr="008C0549">
        <w:rPr>
          <w:lang w:val="es-CO"/>
        </w:rPr>
        <w:t>cumpli</w:t>
      </w:r>
      <w:r w:rsidR="0048725B" w:rsidRPr="008C0549">
        <w:rPr>
          <w:lang w:val="es-CO"/>
        </w:rPr>
        <w:t>miento</w:t>
      </w:r>
      <w:r w:rsidRPr="008C0549">
        <w:rPr>
          <w:lang w:val="es-CO"/>
        </w:rPr>
        <w:t xml:space="preserve"> los fines de la entidad conforme a su mandato constitucional, la prospectiva y plan</w:t>
      </w:r>
      <w:r w:rsidR="00BD67AE" w:rsidRPr="008C0549">
        <w:rPr>
          <w:lang w:val="es-CO"/>
        </w:rPr>
        <w:t>eación estratégica de la misma. Esto también</w:t>
      </w:r>
      <w:r w:rsidR="00BD67AE" w:rsidRPr="00942B99">
        <w:rPr>
          <w:lang w:val="es-CO"/>
        </w:rPr>
        <w:t xml:space="preserve"> implica una fuerte afectación en las necesidades de inversión de la Jurisdicción. </w:t>
      </w:r>
      <w:r w:rsidRPr="00942B99">
        <w:rPr>
          <w:lang w:val="es-CO"/>
        </w:rPr>
        <w:t xml:space="preserve">El escenario ajustado </w:t>
      </w:r>
      <w:r w:rsidR="00622359" w:rsidRPr="00942B99">
        <w:rPr>
          <w:lang w:val="es-CO"/>
        </w:rPr>
        <w:t xml:space="preserve">al tope </w:t>
      </w:r>
      <w:r w:rsidRPr="00942B99">
        <w:rPr>
          <w:lang w:val="es-CO"/>
        </w:rPr>
        <w:t>es el siguiente:</w:t>
      </w:r>
    </w:p>
    <w:p w14:paraId="0F899F80" w14:textId="228F727D" w:rsidR="007B491B" w:rsidRDefault="007B491B">
      <w:pPr>
        <w:rPr>
          <w:b/>
          <w:i/>
          <w:iCs/>
          <w:color w:val="000000" w:themeColor="text1"/>
          <w:sz w:val="22"/>
          <w:szCs w:val="22"/>
          <w:lang w:val="es-CO"/>
        </w:rPr>
      </w:pPr>
    </w:p>
    <w:p w14:paraId="7811BDF7" w14:textId="77777777" w:rsidR="008C0549" w:rsidRDefault="008C0549">
      <w:pPr>
        <w:rPr>
          <w:b/>
          <w:i/>
          <w:iCs/>
          <w:color w:val="000000" w:themeColor="text1"/>
          <w:sz w:val="22"/>
          <w:szCs w:val="22"/>
          <w:lang w:val="es-CO"/>
        </w:rPr>
      </w:pPr>
      <w:r>
        <w:rPr>
          <w:b/>
          <w:color w:val="000000" w:themeColor="text1"/>
          <w:sz w:val="22"/>
          <w:szCs w:val="22"/>
          <w:lang w:val="es-CO"/>
        </w:rPr>
        <w:br w:type="page"/>
      </w:r>
    </w:p>
    <w:p w14:paraId="60DE2B0A" w14:textId="63420DA1" w:rsidR="003701CE" w:rsidRPr="00BC749A" w:rsidRDefault="003701CE" w:rsidP="00DB3190">
      <w:pPr>
        <w:pStyle w:val="Descripcin"/>
        <w:spacing w:after="0"/>
        <w:rPr>
          <w:b/>
          <w:color w:val="000000" w:themeColor="text1"/>
          <w:sz w:val="22"/>
          <w:szCs w:val="22"/>
          <w:lang w:val="es-CO"/>
        </w:rPr>
      </w:pPr>
      <w:r w:rsidRPr="00BC749A">
        <w:rPr>
          <w:b/>
          <w:color w:val="000000" w:themeColor="text1"/>
          <w:sz w:val="22"/>
          <w:szCs w:val="22"/>
          <w:lang w:val="es-CO"/>
        </w:rPr>
        <w:lastRenderedPageBreak/>
        <w:t xml:space="preserve">Tabla </w:t>
      </w:r>
      <w:r w:rsidRPr="00BC749A">
        <w:rPr>
          <w:b/>
          <w:color w:val="000000" w:themeColor="text1"/>
          <w:sz w:val="22"/>
          <w:szCs w:val="22"/>
          <w:lang w:val="es-CO"/>
        </w:rPr>
        <w:fldChar w:fldCharType="begin"/>
      </w:r>
      <w:r w:rsidRPr="00BC749A">
        <w:rPr>
          <w:b/>
          <w:color w:val="000000" w:themeColor="text1"/>
          <w:sz w:val="22"/>
          <w:szCs w:val="22"/>
          <w:lang w:val="es-CO"/>
        </w:rPr>
        <w:instrText xml:space="preserve"> SEQ Tabla \* ARABIC </w:instrText>
      </w:r>
      <w:r w:rsidRPr="00BC749A">
        <w:rPr>
          <w:b/>
          <w:color w:val="000000" w:themeColor="text1"/>
          <w:sz w:val="22"/>
          <w:szCs w:val="22"/>
          <w:lang w:val="es-CO"/>
        </w:rPr>
        <w:fldChar w:fldCharType="separate"/>
      </w:r>
      <w:r w:rsidR="00D23B8F">
        <w:rPr>
          <w:b/>
          <w:noProof/>
          <w:color w:val="000000" w:themeColor="text1"/>
          <w:sz w:val="22"/>
          <w:szCs w:val="22"/>
          <w:lang w:val="es-CO"/>
        </w:rPr>
        <w:t>7</w:t>
      </w:r>
      <w:r w:rsidRPr="00BC749A">
        <w:rPr>
          <w:b/>
          <w:color w:val="000000" w:themeColor="text1"/>
          <w:sz w:val="22"/>
          <w:szCs w:val="22"/>
          <w:lang w:val="es-CO"/>
        </w:rPr>
        <w:fldChar w:fldCharType="end"/>
      </w:r>
      <w:r w:rsidRPr="00BC749A">
        <w:rPr>
          <w:b/>
          <w:color w:val="000000" w:themeColor="text1"/>
          <w:sz w:val="22"/>
          <w:szCs w:val="22"/>
          <w:lang w:val="es-CO"/>
        </w:rPr>
        <w:t>. Escenario presupuestal ajustado a</w:t>
      </w:r>
      <w:r w:rsidR="00944C83">
        <w:rPr>
          <w:b/>
          <w:color w:val="000000" w:themeColor="text1"/>
          <w:sz w:val="22"/>
          <w:szCs w:val="22"/>
          <w:lang w:val="es-CO"/>
        </w:rPr>
        <w:t>l</w:t>
      </w:r>
      <w:r w:rsidRPr="00BC749A">
        <w:rPr>
          <w:b/>
          <w:color w:val="000000" w:themeColor="text1"/>
          <w:sz w:val="22"/>
          <w:szCs w:val="22"/>
          <w:lang w:val="es-CO"/>
        </w:rPr>
        <w:t xml:space="preserve"> </w:t>
      </w:r>
      <w:r>
        <w:rPr>
          <w:b/>
          <w:color w:val="000000" w:themeColor="text1"/>
          <w:sz w:val="22"/>
          <w:szCs w:val="22"/>
          <w:lang w:val="es-CO"/>
        </w:rPr>
        <w:t>tope</w:t>
      </w:r>
      <w:r w:rsidRPr="00BC749A">
        <w:rPr>
          <w:b/>
          <w:color w:val="000000" w:themeColor="text1"/>
          <w:sz w:val="22"/>
          <w:szCs w:val="22"/>
          <w:lang w:val="es-CO"/>
        </w:rPr>
        <w:t xml:space="preserve"> </w:t>
      </w:r>
      <w:r w:rsidR="00944C83">
        <w:rPr>
          <w:b/>
          <w:color w:val="000000" w:themeColor="text1"/>
          <w:sz w:val="22"/>
          <w:szCs w:val="22"/>
          <w:lang w:val="es-CO"/>
        </w:rPr>
        <w:t>de Anteproyecto</w:t>
      </w:r>
      <w:r w:rsidRPr="00BC749A">
        <w:rPr>
          <w:b/>
          <w:color w:val="000000" w:themeColor="text1"/>
          <w:sz w:val="22"/>
          <w:szCs w:val="22"/>
          <w:lang w:val="es-CO"/>
        </w:rPr>
        <w:t xml:space="preserve"> 2021 de la JEP</w:t>
      </w:r>
      <w:r>
        <w:rPr>
          <w:b/>
          <w:color w:val="000000" w:themeColor="text1"/>
          <w:sz w:val="22"/>
          <w:szCs w:val="22"/>
          <w:lang w:val="es-CO"/>
        </w:rPr>
        <w:t xml:space="preserve"> – Cifras en pesos corrientes</w:t>
      </w:r>
    </w:p>
    <w:tbl>
      <w:tblPr>
        <w:tblW w:w="5000" w:type="pct"/>
        <w:tblCellMar>
          <w:left w:w="70" w:type="dxa"/>
          <w:right w:w="70" w:type="dxa"/>
        </w:tblCellMar>
        <w:tblLook w:val="04A0" w:firstRow="1" w:lastRow="0" w:firstColumn="1" w:lastColumn="0" w:noHBand="0" w:noVBand="1"/>
      </w:tblPr>
      <w:tblGrid>
        <w:gridCol w:w="2251"/>
        <w:gridCol w:w="1789"/>
        <w:gridCol w:w="2297"/>
        <w:gridCol w:w="1724"/>
        <w:gridCol w:w="1097"/>
      </w:tblGrid>
      <w:tr w:rsidR="003701CE" w:rsidRPr="00976619" w14:paraId="16AF01A2" w14:textId="77777777" w:rsidTr="006A1B70">
        <w:trPr>
          <w:trHeight w:val="315"/>
          <w:tblHeader/>
        </w:trPr>
        <w:tc>
          <w:tcPr>
            <w:tcW w:w="2206" w:type="pct"/>
            <w:gridSpan w:val="2"/>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4625FFBD" w14:textId="77777777" w:rsidR="003701CE" w:rsidRPr="00976619" w:rsidRDefault="003701C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Solicitud base 2021</w:t>
            </w:r>
          </w:p>
        </w:tc>
        <w:tc>
          <w:tcPr>
            <w:tcW w:w="1254" w:type="pct"/>
            <w:vMerge w:val="restart"/>
            <w:tcBorders>
              <w:top w:val="single" w:sz="8" w:space="0" w:color="BFBFBF"/>
              <w:left w:val="single" w:sz="8" w:space="0" w:color="BFBFBF"/>
              <w:bottom w:val="single" w:sz="8" w:space="0" w:color="BFBFBF"/>
              <w:right w:val="single" w:sz="8" w:space="0" w:color="BFBFBF"/>
            </w:tcBorders>
            <w:shd w:val="clear" w:color="000000" w:fill="002060"/>
            <w:vAlign w:val="center"/>
            <w:hideMark/>
          </w:tcPr>
          <w:p w14:paraId="3AD0DF16" w14:textId="7427DD4E" w:rsidR="003701CE" w:rsidRPr="00976619" w:rsidRDefault="003701C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TOPE</w:t>
            </w:r>
            <w:r w:rsidR="000737DA">
              <w:rPr>
                <w:rFonts w:eastAsia="Times New Roman" w:cs="Calibri"/>
                <w:b/>
                <w:bCs/>
                <w:color w:val="FFFFFF"/>
                <w:sz w:val="20"/>
                <w:szCs w:val="20"/>
                <w:lang w:val="es-CO" w:eastAsia="es-CO"/>
              </w:rPr>
              <w:t xml:space="preserve"> </w:t>
            </w:r>
            <w:r w:rsidRPr="00976619">
              <w:rPr>
                <w:rFonts w:eastAsia="Times New Roman" w:cs="Calibri"/>
                <w:b/>
                <w:bCs/>
                <w:color w:val="FFFFFF"/>
                <w:sz w:val="20"/>
                <w:szCs w:val="20"/>
                <w:lang w:val="es-CO" w:eastAsia="es-CO"/>
              </w:rPr>
              <w:t>2021</w:t>
            </w:r>
          </w:p>
        </w:tc>
        <w:tc>
          <w:tcPr>
            <w:tcW w:w="1540" w:type="pct"/>
            <w:gridSpan w:val="2"/>
            <w:tcBorders>
              <w:top w:val="single" w:sz="8" w:space="0" w:color="BFBFBF"/>
              <w:left w:val="nil"/>
              <w:bottom w:val="single" w:sz="8" w:space="0" w:color="BFBFBF"/>
              <w:right w:val="single" w:sz="8" w:space="0" w:color="BFBFBF"/>
            </w:tcBorders>
            <w:shd w:val="clear" w:color="000000" w:fill="002060"/>
            <w:vAlign w:val="center"/>
            <w:hideMark/>
          </w:tcPr>
          <w:p w14:paraId="7A0B1845" w14:textId="77777777" w:rsidR="003701CE" w:rsidRPr="00976619" w:rsidRDefault="003701C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DESFINANCIACIÓN</w:t>
            </w:r>
          </w:p>
        </w:tc>
      </w:tr>
      <w:tr w:rsidR="003701CE" w:rsidRPr="00976619" w14:paraId="51D7FC85" w14:textId="77777777" w:rsidTr="006A1B70">
        <w:trPr>
          <w:trHeight w:val="315"/>
          <w:tblHeader/>
        </w:trPr>
        <w:tc>
          <w:tcPr>
            <w:tcW w:w="1229" w:type="pct"/>
            <w:tcBorders>
              <w:top w:val="nil"/>
              <w:left w:val="single" w:sz="8" w:space="0" w:color="BFBFBF"/>
              <w:bottom w:val="single" w:sz="8" w:space="0" w:color="BFBFBF"/>
              <w:right w:val="single" w:sz="8" w:space="0" w:color="BFBFBF"/>
            </w:tcBorders>
            <w:shd w:val="clear" w:color="000000" w:fill="D9D9D9"/>
            <w:vAlign w:val="center"/>
            <w:hideMark/>
          </w:tcPr>
          <w:p w14:paraId="52DE735A"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Cuenta</w:t>
            </w:r>
          </w:p>
        </w:tc>
        <w:tc>
          <w:tcPr>
            <w:tcW w:w="977" w:type="pct"/>
            <w:tcBorders>
              <w:top w:val="nil"/>
              <w:left w:val="nil"/>
              <w:bottom w:val="single" w:sz="8" w:space="0" w:color="BFBFBF"/>
              <w:right w:val="single" w:sz="8" w:space="0" w:color="BFBFBF"/>
            </w:tcBorders>
            <w:shd w:val="clear" w:color="000000" w:fill="D9D9D9"/>
            <w:vAlign w:val="center"/>
            <w:hideMark/>
          </w:tcPr>
          <w:p w14:paraId="3AFC12D2"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Valor</w:t>
            </w:r>
          </w:p>
        </w:tc>
        <w:tc>
          <w:tcPr>
            <w:tcW w:w="1254" w:type="pct"/>
            <w:vMerge/>
            <w:tcBorders>
              <w:top w:val="single" w:sz="8" w:space="0" w:color="BFBFBF"/>
              <w:left w:val="single" w:sz="8" w:space="0" w:color="BFBFBF"/>
              <w:bottom w:val="single" w:sz="8" w:space="0" w:color="BFBFBF"/>
              <w:right w:val="single" w:sz="8" w:space="0" w:color="BFBFBF"/>
            </w:tcBorders>
            <w:vAlign w:val="center"/>
            <w:hideMark/>
          </w:tcPr>
          <w:p w14:paraId="736AD4EF" w14:textId="77777777" w:rsidR="003701CE" w:rsidRPr="00976619" w:rsidRDefault="003701CE" w:rsidP="007B491B">
            <w:pPr>
              <w:spacing w:line="220" w:lineRule="exact"/>
              <w:rPr>
                <w:rFonts w:eastAsia="Times New Roman" w:cs="Calibri"/>
                <w:b/>
                <w:bCs/>
                <w:color w:val="FFFFFF"/>
                <w:sz w:val="20"/>
                <w:szCs w:val="20"/>
                <w:lang w:val="es-CO" w:eastAsia="es-CO"/>
              </w:rPr>
            </w:pPr>
          </w:p>
        </w:tc>
        <w:tc>
          <w:tcPr>
            <w:tcW w:w="941" w:type="pct"/>
            <w:tcBorders>
              <w:top w:val="nil"/>
              <w:left w:val="nil"/>
              <w:bottom w:val="single" w:sz="8" w:space="0" w:color="BFBFBF"/>
              <w:right w:val="single" w:sz="8" w:space="0" w:color="BFBFBF"/>
            </w:tcBorders>
            <w:shd w:val="clear" w:color="000000" w:fill="D9D9D9"/>
            <w:vAlign w:val="center"/>
            <w:hideMark/>
          </w:tcPr>
          <w:p w14:paraId="6477BC13"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Pesos</w:t>
            </w:r>
          </w:p>
        </w:tc>
        <w:tc>
          <w:tcPr>
            <w:tcW w:w="599" w:type="pct"/>
            <w:tcBorders>
              <w:top w:val="nil"/>
              <w:left w:val="nil"/>
              <w:bottom w:val="single" w:sz="8" w:space="0" w:color="BFBFBF"/>
              <w:right w:val="single" w:sz="8" w:space="0" w:color="BFBFBF"/>
            </w:tcBorders>
            <w:shd w:val="clear" w:color="000000" w:fill="D9D9D9"/>
            <w:vAlign w:val="center"/>
            <w:hideMark/>
          </w:tcPr>
          <w:p w14:paraId="60770A6E"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Porcentaje</w:t>
            </w:r>
          </w:p>
        </w:tc>
      </w:tr>
      <w:tr w:rsidR="003701CE" w:rsidRPr="00976619" w14:paraId="100E1850"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D9E1F2"/>
            <w:vAlign w:val="center"/>
            <w:hideMark/>
          </w:tcPr>
          <w:p w14:paraId="65FF5CFF"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Gasto de funcionamiento</w:t>
            </w:r>
          </w:p>
        </w:tc>
        <w:tc>
          <w:tcPr>
            <w:tcW w:w="977" w:type="pct"/>
            <w:tcBorders>
              <w:top w:val="nil"/>
              <w:left w:val="nil"/>
              <w:bottom w:val="single" w:sz="8" w:space="0" w:color="BFBFBF"/>
              <w:right w:val="single" w:sz="8" w:space="0" w:color="BFBFBF"/>
            </w:tcBorders>
            <w:shd w:val="clear" w:color="000000" w:fill="D9E1F2"/>
            <w:vAlign w:val="center"/>
            <w:hideMark/>
          </w:tcPr>
          <w:p w14:paraId="109F84F2"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$218.442.077.496 </w:t>
            </w:r>
          </w:p>
        </w:tc>
        <w:tc>
          <w:tcPr>
            <w:tcW w:w="2794" w:type="pct"/>
            <w:gridSpan w:val="3"/>
            <w:tcBorders>
              <w:top w:val="single" w:sz="8" w:space="0" w:color="BFBFBF"/>
              <w:left w:val="nil"/>
              <w:bottom w:val="single" w:sz="8" w:space="0" w:color="BFBFBF"/>
              <w:right w:val="single" w:sz="8" w:space="0" w:color="BFBFBF"/>
            </w:tcBorders>
            <w:shd w:val="clear" w:color="000000" w:fill="D9E1F2"/>
            <w:vAlign w:val="center"/>
            <w:hideMark/>
          </w:tcPr>
          <w:p w14:paraId="52BBF761" w14:textId="77777777" w:rsidR="003701CE" w:rsidRPr="00976619" w:rsidRDefault="003701CE" w:rsidP="007B491B">
            <w:pPr>
              <w:spacing w:line="220" w:lineRule="exact"/>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Gasto de funcionamiento </w:t>
            </w:r>
          </w:p>
        </w:tc>
      </w:tr>
      <w:tr w:rsidR="003701CE" w:rsidRPr="00976619" w14:paraId="40CA6C4E"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E7E6E6"/>
            <w:vAlign w:val="center"/>
            <w:hideMark/>
          </w:tcPr>
          <w:p w14:paraId="07C760E6"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Gastos de Personal</w:t>
            </w:r>
          </w:p>
        </w:tc>
        <w:tc>
          <w:tcPr>
            <w:tcW w:w="977" w:type="pct"/>
            <w:tcBorders>
              <w:top w:val="nil"/>
              <w:left w:val="nil"/>
              <w:bottom w:val="single" w:sz="8" w:space="0" w:color="BFBFBF"/>
              <w:right w:val="single" w:sz="8" w:space="0" w:color="BFBFBF"/>
            </w:tcBorders>
            <w:shd w:val="clear" w:color="000000" w:fill="E7E6E6"/>
            <w:vAlign w:val="center"/>
            <w:hideMark/>
          </w:tcPr>
          <w:p w14:paraId="06DD1500"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$182.486.838.793 </w:t>
            </w:r>
          </w:p>
        </w:tc>
        <w:tc>
          <w:tcPr>
            <w:tcW w:w="1254" w:type="pct"/>
            <w:vMerge w:val="restart"/>
            <w:tcBorders>
              <w:top w:val="nil"/>
              <w:left w:val="single" w:sz="8" w:space="0" w:color="BFBFBF"/>
              <w:bottom w:val="single" w:sz="8" w:space="0" w:color="BFBFBF"/>
              <w:right w:val="single" w:sz="8" w:space="0" w:color="BFBFBF"/>
            </w:tcBorders>
            <w:shd w:val="clear" w:color="000000" w:fill="EDEDED"/>
            <w:vAlign w:val="center"/>
            <w:hideMark/>
          </w:tcPr>
          <w:p w14:paraId="6A7B5260"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$218.442.077.496 </w:t>
            </w:r>
          </w:p>
        </w:tc>
        <w:tc>
          <w:tcPr>
            <w:tcW w:w="941" w:type="pct"/>
            <w:vMerge w:val="restart"/>
            <w:tcBorders>
              <w:top w:val="nil"/>
              <w:left w:val="single" w:sz="8" w:space="0" w:color="BFBFBF"/>
              <w:bottom w:val="single" w:sz="8" w:space="0" w:color="BFBFBF"/>
              <w:right w:val="single" w:sz="8" w:space="0" w:color="BFBFBF"/>
            </w:tcBorders>
            <w:shd w:val="clear" w:color="000000" w:fill="EDEDED"/>
            <w:vAlign w:val="center"/>
            <w:hideMark/>
          </w:tcPr>
          <w:p w14:paraId="1814219E"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$0 </w:t>
            </w:r>
          </w:p>
        </w:tc>
        <w:tc>
          <w:tcPr>
            <w:tcW w:w="599" w:type="pct"/>
            <w:vMerge w:val="restart"/>
            <w:tcBorders>
              <w:top w:val="nil"/>
              <w:left w:val="single" w:sz="8" w:space="0" w:color="BFBFBF"/>
              <w:bottom w:val="single" w:sz="8" w:space="0" w:color="BFBFBF"/>
              <w:right w:val="single" w:sz="8" w:space="0" w:color="BFBFBF"/>
            </w:tcBorders>
            <w:shd w:val="clear" w:color="000000" w:fill="EDEDED"/>
            <w:vAlign w:val="center"/>
            <w:hideMark/>
          </w:tcPr>
          <w:p w14:paraId="575A5DB9" w14:textId="77777777" w:rsidR="003701CE" w:rsidRPr="00976619" w:rsidRDefault="003701C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0,00%</w:t>
            </w:r>
          </w:p>
        </w:tc>
      </w:tr>
      <w:tr w:rsidR="003701CE" w:rsidRPr="00976619" w14:paraId="0F7BF0B3"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FFFFFF"/>
            <w:vAlign w:val="center"/>
            <w:hideMark/>
          </w:tcPr>
          <w:p w14:paraId="30A9CDF8"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Planta vigente JEP</w:t>
            </w:r>
          </w:p>
        </w:tc>
        <w:tc>
          <w:tcPr>
            <w:tcW w:w="977" w:type="pct"/>
            <w:tcBorders>
              <w:top w:val="nil"/>
              <w:left w:val="nil"/>
              <w:bottom w:val="single" w:sz="8" w:space="0" w:color="BFBFBF"/>
              <w:right w:val="single" w:sz="8" w:space="0" w:color="BFBFBF"/>
            </w:tcBorders>
            <w:shd w:val="clear" w:color="000000" w:fill="FFFFFF"/>
            <w:vAlign w:val="center"/>
            <w:hideMark/>
          </w:tcPr>
          <w:p w14:paraId="7D4F7091" w14:textId="77777777" w:rsidR="003701CE" w:rsidRPr="00976619" w:rsidRDefault="003701CE" w:rsidP="007B491B">
            <w:pPr>
              <w:spacing w:line="220" w:lineRule="exact"/>
              <w:jc w:val="center"/>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$182.486.838.793 </w:t>
            </w:r>
          </w:p>
        </w:tc>
        <w:tc>
          <w:tcPr>
            <w:tcW w:w="1254" w:type="pct"/>
            <w:vMerge/>
            <w:tcBorders>
              <w:top w:val="nil"/>
              <w:left w:val="single" w:sz="8" w:space="0" w:color="BFBFBF"/>
              <w:bottom w:val="single" w:sz="8" w:space="0" w:color="BFBFBF"/>
              <w:right w:val="single" w:sz="8" w:space="0" w:color="BFBFBF"/>
            </w:tcBorders>
            <w:vAlign w:val="center"/>
            <w:hideMark/>
          </w:tcPr>
          <w:p w14:paraId="6B9E63D5"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941" w:type="pct"/>
            <w:vMerge/>
            <w:tcBorders>
              <w:top w:val="nil"/>
              <w:left w:val="single" w:sz="8" w:space="0" w:color="BFBFBF"/>
              <w:bottom w:val="single" w:sz="8" w:space="0" w:color="BFBFBF"/>
              <w:right w:val="single" w:sz="8" w:space="0" w:color="BFBFBF"/>
            </w:tcBorders>
            <w:vAlign w:val="center"/>
            <w:hideMark/>
          </w:tcPr>
          <w:p w14:paraId="3668D7A5"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599" w:type="pct"/>
            <w:vMerge/>
            <w:tcBorders>
              <w:top w:val="nil"/>
              <w:left w:val="single" w:sz="8" w:space="0" w:color="BFBFBF"/>
              <w:bottom w:val="single" w:sz="8" w:space="0" w:color="BFBFBF"/>
              <w:right w:val="single" w:sz="8" w:space="0" w:color="BFBFBF"/>
            </w:tcBorders>
            <w:vAlign w:val="center"/>
            <w:hideMark/>
          </w:tcPr>
          <w:p w14:paraId="6F2592C1" w14:textId="77777777" w:rsidR="003701CE" w:rsidRPr="00976619" w:rsidRDefault="003701CE" w:rsidP="007B491B">
            <w:pPr>
              <w:spacing w:line="220" w:lineRule="exact"/>
              <w:rPr>
                <w:rFonts w:eastAsia="Times New Roman" w:cs="Calibri"/>
                <w:b/>
                <w:bCs/>
                <w:color w:val="000000"/>
                <w:sz w:val="20"/>
                <w:szCs w:val="20"/>
                <w:lang w:val="es-CO" w:eastAsia="es-CO"/>
              </w:rPr>
            </w:pPr>
          </w:p>
        </w:tc>
      </w:tr>
      <w:tr w:rsidR="003701CE" w:rsidRPr="00976619" w14:paraId="5C109A92"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E7E6E6"/>
            <w:vAlign w:val="center"/>
            <w:hideMark/>
          </w:tcPr>
          <w:p w14:paraId="20CDBCCD"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Transferencias corrientes</w:t>
            </w:r>
          </w:p>
        </w:tc>
        <w:tc>
          <w:tcPr>
            <w:tcW w:w="977" w:type="pct"/>
            <w:tcBorders>
              <w:top w:val="nil"/>
              <w:left w:val="nil"/>
              <w:bottom w:val="single" w:sz="8" w:space="0" w:color="BFBFBF"/>
              <w:right w:val="single" w:sz="8" w:space="0" w:color="BFBFBF"/>
            </w:tcBorders>
            <w:shd w:val="clear" w:color="000000" w:fill="E7E6E6"/>
            <w:vAlign w:val="center"/>
            <w:hideMark/>
          </w:tcPr>
          <w:p w14:paraId="0FD0B9AD"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$229.148.713 </w:t>
            </w:r>
          </w:p>
        </w:tc>
        <w:tc>
          <w:tcPr>
            <w:tcW w:w="1254" w:type="pct"/>
            <w:vMerge/>
            <w:tcBorders>
              <w:top w:val="nil"/>
              <w:left w:val="single" w:sz="8" w:space="0" w:color="BFBFBF"/>
              <w:bottom w:val="single" w:sz="8" w:space="0" w:color="BFBFBF"/>
              <w:right w:val="single" w:sz="8" w:space="0" w:color="BFBFBF"/>
            </w:tcBorders>
            <w:vAlign w:val="center"/>
            <w:hideMark/>
          </w:tcPr>
          <w:p w14:paraId="556FD3F9"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941" w:type="pct"/>
            <w:vMerge/>
            <w:tcBorders>
              <w:top w:val="nil"/>
              <w:left w:val="single" w:sz="8" w:space="0" w:color="BFBFBF"/>
              <w:bottom w:val="single" w:sz="8" w:space="0" w:color="BFBFBF"/>
              <w:right w:val="single" w:sz="8" w:space="0" w:color="BFBFBF"/>
            </w:tcBorders>
            <w:vAlign w:val="center"/>
            <w:hideMark/>
          </w:tcPr>
          <w:p w14:paraId="3E23E527"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599" w:type="pct"/>
            <w:vMerge/>
            <w:tcBorders>
              <w:top w:val="nil"/>
              <w:left w:val="single" w:sz="8" w:space="0" w:color="BFBFBF"/>
              <w:bottom w:val="single" w:sz="8" w:space="0" w:color="BFBFBF"/>
              <w:right w:val="single" w:sz="8" w:space="0" w:color="BFBFBF"/>
            </w:tcBorders>
            <w:vAlign w:val="center"/>
            <w:hideMark/>
          </w:tcPr>
          <w:p w14:paraId="021AE004" w14:textId="77777777" w:rsidR="003701CE" w:rsidRPr="00976619" w:rsidRDefault="003701CE" w:rsidP="007B491B">
            <w:pPr>
              <w:spacing w:line="220" w:lineRule="exact"/>
              <w:rPr>
                <w:rFonts w:eastAsia="Times New Roman" w:cs="Calibri"/>
                <w:b/>
                <w:bCs/>
                <w:color w:val="000000"/>
                <w:sz w:val="20"/>
                <w:szCs w:val="20"/>
                <w:lang w:val="es-CO" w:eastAsia="es-CO"/>
              </w:rPr>
            </w:pPr>
          </w:p>
        </w:tc>
      </w:tr>
      <w:tr w:rsidR="003701CE" w:rsidRPr="00976619" w14:paraId="5DA1ABED"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FFFFFF"/>
            <w:vAlign w:val="center"/>
            <w:hideMark/>
          </w:tcPr>
          <w:p w14:paraId="0406B7D3"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Planta vigente JEP</w:t>
            </w:r>
          </w:p>
        </w:tc>
        <w:tc>
          <w:tcPr>
            <w:tcW w:w="977" w:type="pct"/>
            <w:tcBorders>
              <w:top w:val="nil"/>
              <w:left w:val="nil"/>
              <w:bottom w:val="single" w:sz="8" w:space="0" w:color="BFBFBF"/>
              <w:right w:val="single" w:sz="8" w:space="0" w:color="BFBFBF"/>
            </w:tcBorders>
            <w:shd w:val="clear" w:color="000000" w:fill="FFFFFF"/>
            <w:vAlign w:val="center"/>
            <w:hideMark/>
          </w:tcPr>
          <w:p w14:paraId="10C6C989" w14:textId="77777777" w:rsidR="003701CE" w:rsidRPr="00976619" w:rsidRDefault="003701CE" w:rsidP="007B491B">
            <w:pPr>
              <w:spacing w:line="220" w:lineRule="exact"/>
              <w:jc w:val="center"/>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$229.148.713 </w:t>
            </w:r>
          </w:p>
        </w:tc>
        <w:tc>
          <w:tcPr>
            <w:tcW w:w="1254" w:type="pct"/>
            <w:vMerge/>
            <w:tcBorders>
              <w:top w:val="nil"/>
              <w:left w:val="single" w:sz="8" w:space="0" w:color="BFBFBF"/>
              <w:bottom w:val="single" w:sz="8" w:space="0" w:color="BFBFBF"/>
              <w:right w:val="single" w:sz="8" w:space="0" w:color="BFBFBF"/>
            </w:tcBorders>
            <w:vAlign w:val="center"/>
            <w:hideMark/>
          </w:tcPr>
          <w:p w14:paraId="352E42DE"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941" w:type="pct"/>
            <w:vMerge/>
            <w:tcBorders>
              <w:top w:val="nil"/>
              <w:left w:val="single" w:sz="8" w:space="0" w:color="BFBFBF"/>
              <w:bottom w:val="single" w:sz="8" w:space="0" w:color="BFBFBF"/>
              <w:right w:val="single" w:sz="8" w:space="0" w:color="BFBFBF"/>
            </w:tcBorders>
            <w:vAlign w:val="center"/>
            <w:hideMark/>
          </w:tcPr>
          <w:p w14:paraId="4AC81E08"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599" w:type="pct"/>
            <w:vMerge/>
            <w:tcBorders>
              <w:top w:val="nil"/>
              <w:left w:val="single" w:sz="8" w:space="0" w:color="BFBFBF"/>
              <w:bottom w:val="single" w:sz="8" w:space="0" w:color="BFBFBF"/>
              <w:right w:val="single" w:sz="8" w:space="0" w:color="BFBFBF"/>
            </w:tcBorders>
            <w:vAlign w:val="center"/>
            <w:hideMark/>
          </w:tcPr>
          <w:p w14:paraId="7A34FB82" w14:textId="77777777" w:rsidR="003701CE" w:rsidRPr="00976619" w:rsidRDefault="003701CE" w:rsidP="007B491B">
            <w:pPr>
              <w:spacing w:line="220" w:lineRule="exact"/>
              <w:rPr>
                <w:rFonts w:eastAsia="Times New Roman" w:cs="Calibri"/>
                <w:b/>
                <w:bCs/>
                <w:color w:val="000000"/>
                <w:sz w:val="20"/>
                <w:szCs w:val="20"/>
                <w:lang w:val="es-CO" w:eastAsia="es-CO"/>
              </w:rPr>
            </w:pPr>
          </w:p>
        </w:tc>
      </w:tr>
      <w:tr w:rsidR="003701CE" w:rsidRPr="00976619" w14:paraId="4441530F"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E7E6E6"/>
            <w:vAlign w:val="center"/>
            <w:hideMark/>
          </w:tcPr>
          <w:p w14:paraId="1E4D8D20"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Adquisición bienes y servicios</w:t>
            </w:r>
          </w:p>
        </w:tc>
        <w:tc>
          <w:tcPr>
            <w:tcW w:w="977" w:type="pct"/>
            <w:tcBorders>
              <w:top w:val="nil"/>
              <w:left w:val="nil"/>
              <w:bottom w:val="single" w:sz="8" w:space="0" w:color="BFBFBF"/>
              <w:right w:val="single" w:sz="8" w:space="0" w:color="BFBFBF"/>
            </w:tcBorders>
            <w:shd w:val="clear" w:color="000000" w:fill="E7E6E6"/>
            <w:vAlign w:val="center"/>
            <w:hideMark/>
          </w:tcPr>
          <w:p w14:paraId="202BB8ED"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$35.322.089.990 </w:t>
            </w:r>
          </w:p>
        </w:tc>
        <w:tc>
          <w:tcPr>
            <w:tcW w:w="1254" w:type="pct"/>
            <w:vMerge/>
            <w:tcBorders>
              <w:top w:val="nil"/>
              <w:left w:val="single" w:sz="8" w:space="0" w:color="BFBFBF"/>
              <w:bottom w:val="single" w:sz="8" w:space="0" w:color="BFBFBF"/>
              <w:right w:val="single" w:sz="8" w:space="0" w:color="BFBFBF"/>
            </w:tcBorders>
            <w:vAlign w:val="center"/>
            <w:hideMark/>
          </w:tcPr>
          <w:p w14:paraId="48622DB2"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941" w:type="pct"/>
            <w:vMerge/>
            <w:tcBorders>
              <w:top w:val="nil"/>
              <w:left w:val="single" w:sz="8" w:space="0" w:color="BFBFBF"/>
              <w:bottom w:val="single" w:sz="8" w:space="0" w:color="BFBFBF"/>
              <w:right w:val="single" w:sz="8" w:space="0" w:color="BFBFBF"/>
            </w:tcBorders>
            <w:vAlign w:val="center"/>
            <w:hideMark/>
          </w:tcPr>
          <w:p w14:paraId="797FD815"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599" w:type="pct"/>
            <w:vMerge/>
            <w:tcBorders>
              <w:top w:val="nil"/>
              <w:left w:val="single" w:sz="8" w:space="0" w:color="BFBFBF"/>
              <w:bottom w:val="single" w:sz="8" w:space="0" w:color="BFBFBF"/>
              <w:right w:val="single" w:sz="8" w:space="0" w:color="BFBFBF"/>
            </w:tcBorders>
            <w:vAlign w:val="center"/>
            <w:hideMark/>
          </w:tcPr>
          <w:p w14:paraId="38919657" w14:textId="77777777" w:rsidR="003701CE" w:rsidRPr="00976619" w:rsidRDefault="003701CE" w:rsidP="007B491B">
            <w:pPr>
              <w:spacing w:line="220" w:lineRule="exact"/>
              <w:rPr>
                <w:rFonts w:eastAsia="Times New Roman" w:cs="Calibri"/>
                <w:b/>
                <w:bCs/>
                <w:color w:val="000000"/>
                <w:sz w:val="20"/>
                <w:szCs w:val="20"/>
                <w:lang w:val="es-CO" w:eastAsia="es-CO"/>
              </w:rPr>
            </w:pPr>
          </w:p>
        </w:tc>
      </w:tr>
      <w:tr w:rsidR="003701CE" w:rsidRPr="00976619" w14:paraId="1E0EEE98" w14:textId="77777777" w:rsidTr="00043BDE">
        <w:trPr>
          <w:trHeight w:val="615"/>
        </w:trPr>
        <w:tc>
          <w:tcPr>
            <w:tcW w:w="1229" w:type="pct"/>
            <w:tcBorders>
              <w:top w:val="nil"/>
              <w:left w:val="single" w:sz="8" w:space="0" w:color="BFBFBF"/>
              <w:bottom w:val="single" w:sz="8" w:space="0" w:color="BFBFBF"/>
              <w:right w:val="single" w:sz="8" w:space="0" w:color="BFBFBF"/>
            </w:tcBorders>
            <w:shd w:val="clear" w:color="000000" w:fill="E7E6E6"/>
            <w:vAlign w:val="center"/>
            <w:hideMark/>
          </w:tcPr>
          <w:p w14:paraId="191C3CEB"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Gastos por tributos, multas, sanciones e intereses de mora </w:t>
            </w:r>
          </w:p>
        </w:tc>
        <w:tc>
          <w:tcPr>
            <w:tcW w:w="977" w:type="pct"/>
            <w:tcBorders>
              <w:top w:val="nil"/>
              <w:left w:val="nil"/>
              <w:bottom w:val="single" w:sz="8" w:space="0" w:color="BFBFBF"/>
              <w:right w:val="single" w:sz="8" w:space="0" w:color="BFBFBF"/>
            </w:tcBorders>
            <w:shd w:val="clear" w:color="000000" w:fill="E7E6E6"/>
            <w:vAlign w:val="center"/>
            <w:hideMark/>
          </w:tcPr>
          <w:p w14:paraId="6B59CE5F" w14:textId="77777777" w:rsidR="003701CE" w:rsidRPr="00976619" w:rsidRDefault="003701CE" w:rsidP="007B491B">
            <w:pPr>
              <w:spacing w:line="220" w:lineRule="exact"/>
              <w:jc w:val="right"/>
              <w:rPr>
                <w:rFonts w:eastAsia="Times New Roman" w:cs="Calibri"/>
                <w:color w:val="000000"/>
                <w:sz w:val="20"/>
                <w:szCs w:val="20"/>
                <w:lang w:val="es-CO" w:eastAsia="es-CO"/>
              </w:rPr>
            </w:pPr>
            <w:r w:rsidRPr="00976619">
              <w:rPr>
                <w:rFonts w:eastAsia="Times New Roman" w:cs="Calibri"/>
                <w:color w:val="000000"/>
                <w:sz w:val="20"/>
                <w:szCs w:val="20"/>
                <w:lang w:val="es-CO" w:eastAsia="es-CO"/>
              </w:rPr>
              <w:t xml:space="preserve">$404.000.000 </w:t>
            </w:r>
          </w:p>
        </w:tc>
        <w:tc>
          <w:tcPr>
            <w:tcW w:w="1254" w:type="pct"/>
            <w:vMerge/>
            <w:tcBorders>
              <w:top w:val="nil"/>
              <w:left w:val="single" w:sz="8" w:space="0" w:color="BFBFBF"/>
              <w:bottom w:val="single" w:sz="8" w:space="0" w:color="BFBFBF"/>
              <w:right w:val="single" w:sz="8" w:space="0" w:color="BFBFBF"/>
            </w:tcBorders>
            <w:vAlign w:val="center"/>
            <w:hideMark/>
          </w:tcPr>
          <w:p w14:paraId="6F4F0BE5"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941" w:type="pct"/>
            <w:vMerge/>
            <w:tcBorders>
              <w:top w:val="nil"/>
              <w:left w:val="single" w:sz="8" w:space="0" w:color="BFBFBF"/>
              <w:bottom w:val="single" w:sz="8" w:space="0" w:color="BFBFBF"/>
              <w:right w:val="single" w:sz="8" w:space="0" w:color="BFBFBF"/>
            </w:tcBorders>
            <w:vAlign w:val="center"/>
            <w:hideMark/>
          </w:tcPr>
          <w:p w14:paraId="468833EC" w14:textId="77777777" w:rsidR="003701CE" w:rsidRPr="00976619" w:rsidRDefault="003701CE" w:rsidP="007B491B">
            <w:pPr>
              <w:spacing w:line="220" w:lineRule="exact"/>
              <w:rPr>
                <w:rFonts w:eastAsia="Times New Roman" w:cs="Calibri"/>
                <w:b/>
                <w:bCs/>
                <w:color w:val="000000"/>
                <w:sz w:val="20"/>
                <w:szCs w:val="20"/>
                <w:lang w:val="es-CO" w:eastAsia="es-CO"/>
              </w:rPr>
            </w:pPr>
          </w:p>
        </w:tc>
        <w:tc>
          <w:tcPr>
            <w:tcW w:w="599" w:type="pct"/>
            <w:vMerge/>
            <w:tcBorders>
              <w:top w:val="nil"/>
              <w:left w:val="single" w:sz="8" w:space="0" w:color="BFBFBF"/>
              <w:bottom w:val="single" w:sz="8" w:space="0" w:color="BFBFBF"/>
              <w:right w:val="single" w:sz="8" w:space="0" w:color="BFBFBF"/>
            </w:tcBorders>
            <w:vAlign w:val="center"/>
            <w:hideMark/>
          </w:tcPr>
          <w:p w14:paraId="723CB594" w14:textId="77777777" w:rsidR="003701CE" w:rsidRPr="00976619" w:rsidRDefault="003701CE" w:rsidP="007B491B">
            <w:pPr>
              <w:spacing w:line="220" w:lineRule="exact"/>
              <w:rPr>
                <w:rFonts w:eastAsia="Times New Roman" w:cs="Calibri"/>
                <w:b/>
                <w:bCs/>
                <w:color w:val="000000"/>
                <w:sz w:val="20"/>
                <w:szCs w:val="20"/>
                <w:lang w:val="es-CO" w:eastAsia="es-CO"/>
              </w:rPr>
            </w:pPr>
          </w:p>
        </w:tc>
      </w:tr>
      <w:tr w:rsidR="00043BDE" w:rsidRPr="00976619" w14:paraId="2D1F9ACE"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D9E1F2"/>
            <w:vAlign w:val="center"/>
            <w:hideMark/>
          </w:tcPr>
          <w:p w14:paraId="3DE41290" w14:textId="77777777" w:rsidR="00043BDE" w:rsidRPr="00976619" w:rsidRDefault="00043BD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Gasto de inversión</w:t>
            </w:r>
          </w:p>
        </w:tc>
        <w:tc>
          <w:tcPr>
            <w:tcW w:w="977" w:type="pct"/>
            <w:tcBorders>
              <w:top w:val="nil"/>
              <w:left w:val="nil"/>
              <w:bottom w:val="single" w:sz="8" w:space="0" w:color="BFBFBF"/>
              <w:right w:val="single" w:sz="8" w:space="0" w:color="BFBFBF"/>
            </w:tcBorders>
            <w:shd w:val="clear" w:color="000000" w:fill="D9E1F2"/>
            <w:vAlign w:val="center"/>
            <w:hideMark/>
          </w:tcPr>
          <w:p w14:paraId="71A8F3E1" w14:textId="5C84C607" w:rsidR="00043BDE" w:rsidRPr="00976619" w:rsidRDefault="00043BD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$79.304.330.167 </w:t>
            </w:r>
          </w:p>
        </w:tc>
        <w:tc>
          <w:tcPr>
            <w:tcW w:w="2794" w:type="pct"/>
            <w:gridSpan w:val="3"/>
            <w:tcBorders>
              <w:top w:val="single" w:sz="8" w:space="0" w:color="BFBFBF"/>
              <w:left w:val="nil"/>
              <w:bottom w:val="single" w:sz="8" w:space="0" w:color="BFBFBF"/>
              <w:right w:val="single" w:sz="8" w:space="0" w:color="BFBFBF"/>
            </w:tcBorders>
            <w:shd w:val="clear" w:color="000000" w:fill="D9E1F2"/>
            <w:vAlign w:val="center"/>
            <w:hideMark/>
          </w:tcPr>
          <w:p w14:paraId="79A0E935" w14:textId="77777777" w:rsidR="00043BDE" w:rsidRPr="00976619" w:rsidRDefault="00043BDE" w:rsidP="007B491B">
            <w:pPr>
              <w:spacing w:line="220" w:lineRule="exact"/>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Gasto de inversión</w:t>
            </w:r>
          </w:p>
        </w:tc>
      </w:tr>
      <w:tr w:rsidR="00043BDE" w:rsidRPr="00976619" w14:paraId="500A9589"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FFFFFF"/>
            <w:vAlign w:val="center"/>
            <w:hideMark/>
          </w:tcPr>
          <w:p w14:paraId="308290C0" w14:textId="1170A23C" w:rsidR="00043BDE" w:rsidRPr="00976619" w:rsidRDefault="00043BDE" w:rsidP="007B491B">
            <w:pPr>
              <w:spacing w:line="220" w:lineRule="exact"/>
              <w:jc w:val="right"/>
              <w:rPr>
                <w:rFonts w:eastAsia="Times New Roman" w:cs="Calibri"/>
                <w:color w:val="000000"/>
                <w:sz w:val="20"/>
                <w:szCs w:val="20"/>
                <w:lang w:val="es-CO" w:eastAsia="es-CO"/>
              </w:rPr>
            </w:pPr>
            <w:r>
              <w:rPr>
                <w:rFonts w:eastAsia="Times New Roman" w:cs="Calibri"/>
                <w:color w:val="000000"/>
                <w:sz w:val="20"/>
                <w:szCs w:val="20"/>
                <w:lang w:val="es-CO" w:eastAsia="es-CO"/>
              </w:rPr>
              <w:t>Proyecto</w:t>
            </w:r>
            <w:r w:rsidR="00C118AF">
              <w:rPr>
                <w:rFonts w:eastAsia="Times New Roman" w:cs="Calibri"/>
                <w:color w:val="000000"/>
                <w:sz w:val="20"/>
                <w:szCs w:val="20"/>
                <w:lang w:val="es-CO" w:eastAsia="es-CO"/>
              </w:rPr>
              <w:t>s</w:t>
            </w:r>
            <w:r>
              <w:rPr>
                <w:rFonts w:eastAsia="Times New Roman" w:cs="Calibri"/>
                <w:color w:val="000000"/>
                <w:sz w:val="20"/>
                <w:szCs w:val="20"/>
                <w:lang w:val="es-CO" w:eastAsia="es-CO"/>
              </w:rPr>
              <w:t xml:space="preserve"> de inversión</w:t>
            </w:r>
          </w:p>
        </w:tc>
        <w:tc>
          <w:tcPr>
            <w:tcW w:w="977" w:type="pct"/>
            <w:tcBorders>
              <w:top w:val="nil"/>
              <w:left w:val="nil"/>
              <w:bottom w:val="single" w:sz="8" w:space="0" w:color="BFBFBF"/>
              <w:right w:val="single" w:sz="8" w:space="0" w:color="BFBFBF"/>
            </w:tcBorders>
            <w:shd w:val="clear" w:color="000000" w:fill="FFFFFF"/>
            <w:vAlign w:val="center"/>
            <w:hideMark/>
          </w:tcPr>
          <w:p w14:paraId="1BF7ED45" w14:textId="267DD175" w:rsidR="00043BDE" w:rsidRPr="00043BDE" w:rsidRDefault="00043BDE" w:rsidP="007B491B">
            <w:pPr>
              <w:spacing w:line="220" w:lineRule="exact"/>
              <w:ind w:firstLineChars="100" w:firstLine="200"/>
              <w:jc w:val="right"/>
              <w:rPr>
                <w:rFonts w:eastAsia="Times New Roman" w:cs="Calibri"/>
                <w:color w:val="000000"/>
                <w:sz w:val="20"/>
                <w:szCs w:val="20"/>
                <w:lang w:val="es-CO" w:eastAsia="es-CO"/>
              </w:rPr>
            </w:pPr>
            <w:r w:rsidRPr="00043BDE">
              <w:rPr>
                <w:rFonts w:eastAsia="Times New Roman" w:cs="Calibri"/>
                <w:bCs/>
                <w:color w:val="000000"/>
                <w:sz w:val="20"/>
                <w:szCs w:val="20"/>
                <w:lang w:val="es-CO" w:eastAsia="es-CO"/>
              </w:rPr>
              <w:t xml:space="preserve">$79.304.330.167 </w:t>
            </w:r>
          </w:p>
        </w:tc>
        <w:tc>
          <w:tcPr>
            <w:tcW w:w="1254" w:type="pct"/>
            <w:tcBorders>
              <w:top w:val="nil"/>
              <w:left w:val="single" w:sz="8" w:space="0" w:color="BFBFBF"/>
              <w:bottom w:val="single" w:sz="8" w:space="0" w:color="BFBFBF"/>
              <w:right w:val="single" w:sz="8" w:space="0" w:color="BFBFBF"/>
            </w:tcBorders>
            <w:shd w:val="clear" w:color="000000" w:fill="EDEDED"/>
            <w:vAlign w:val="center"/>
            <w:hideMark/>
          </w:tcPr>
          <w:p w14:paraId="1156298A" w14:textId="77777777" w:rsidR="00043BDE" w:rsidRPr="00976619" w:rsidRDefault="00043BD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 xml:space="preserve">$79.304.330.167 </w:t>
            </w:r>
          </w:p>
        </w:tc>
        <w:tc>
          <w:tcPr>
            <w:tcW w:w="941" w:type="pct"/>
            <w:tcBorders>
              <w:top w:val="nil"/>
              <w:left w:val="single" w:sz="8" w:space="0" w:color="BFBFBF"/>
              <w:bottom w:val="single" w:sz="8" w:space="0" w:color="BFBFBF"/>
              <w:right w:val="single" w:sz="8" w:space="0" w:color="BFBFBF"/>
            </w:tcBorders>
            <w:shd w:val="clear" w:color="000000" w:fill="EDEDED"/>
            <w:vAlign w:val="center"/>
            <w:hideMark/>
          </w:tcPr>
          <w:p w14:paraId="318452D3" w14:textId="242B2A1A" w:rsidR="00043BDE" w:rsidRPr="00976619" w:rsidRDefault="00043BDE" w:rsidP="007B491B">
            <w:pPr>
              <w:spacing w:line="220" w:lineRule="exact"/>
              <w:jc w:val="center"/>
              <w:rPr>
                <w:rFonts w:eastAsia="Times New Roman" w:cs="Calibri"/>
                <w:b/>
                <w:bCs/>
                <w:color w:val="FF0000"/>
                <w:sz w:val="20"/>
                <w:szCs w:val="20"/>
                <w:lang w:val="es-CO" w:eastAsia="es-CO"/>
              </w:rPr>
            </w:pPr>
            <w:r w:rsidRPr="00976619">
              <w:rPr>
                <w:rFonts w:eastAsia="Times New Roman" w:cs="Calibri"/>
                <w:b/>
                <w:bCs/>
                <w:color w:val="000000"/>
                <w:sz w:val="20"/>
                <w:szCs w:val="20"/>
                <w:lang w:val="es-CO" w:eastAsia="es-CO"/>
              </w:rPr>
              <w:t xml:space="preserve">$0 </w:t>
            </w:r>
          </w:p>
        </w:tc>
        <w:tc>
          <w:tcPr>
            <w:tcW w:w="599" w:type="pct"/>
            <w:tcBorders>
              <w:top w:val="nil"/>
              <w:left w:val="single" w:sz="8" w:space="0" w:color="BFBFBF"/>
              <w:bottom w:val="single" w:sz="8" w:space="0" w:color="BFBFBF"/>
              <w:right w:val="single" w:sz="8" w:space="0" w:color="BFBFBF"/>
            </w:tcBorders>
            <w:shd w:val="clear" w:color="000000" w:fill="EDEDED"/>
            <w:vAlign w:val="center"/>
            <w:hideMark/>
          </w:tcPr>
          <w:p w14:paraId="3C6A2B44" w14:textId="02A74AA6" w:rsidR="00043BDE" w:rsidRPr="00976619" w:rsidRDefault="00043BDE" w:rsidP="007B491B">
            <w:pPr>
              <w:spacing w:line="220" w:lineRule="exact"/>
              <w:jc w:val="center"/>
              <w:rPr>
                <w:rFonts w:eastAsia="Times New Roman" w:cs="Calibri"/>
                <w:b/>
                <w:bCs/>
                <w:color w:val="000000"/>
                <w:sz w:val="20"/>
                <w:szCs w:val="20"/>
                <w:lang w:val="es-CO" w:eastAsia="es-CO"/>
              </w:rPr>
            </w:pPr>
            <w:r w:rsidRPr="00976619">
              <w:rPr>
                <w:rFonts w:eastAsia="Times New Roman" w:cs="Calibri"/>
                <w:b/>
                <w:bCs/>
                <w:color w:val="000000"/>
                <w:sz w:val="20"/>
                <w:szCs w:val="20"/>
                <w:lang w:val="es-CO" w:eastAsia="es-CO"/>
              </w:rPr>
              <w:t>0,00%</w:t>
            </w:r>
          </w:p>
        </w:tc>
      </w:tr>
      <w:tr w:rsidR="00043BDE" w:rsidRPr="00976619" w14:paraId="2369BDF2" w14:textId="77777777" w:rsidTr="00043BDE">
        <w:trPr>
          <w:trHeight w:val="315"/>
        </w:trPr>
        <w:tc>
          <w:tcPr>
            <w:tcW w:w="1229" w:type="pct"/>
            <w:tcBorders>
              <w:top w:val="nil"/>
              <w:left w:val="single" w:sz="8" w:space="0" w:color="BFBFBF"/>
              <w:bottom w:val="single" w:sz="8" w:space="0" w:color="BFBFBF"/>
              <w:right w:val="single" w:sz="8" w:space="0" w:color="BFBFBF"/>
            </w:tcBorders>
            <w:shd w:val="clear" w:color="000000" w:fill="002060"/>
            <w:vAlign w:val="center"/>
            <w:hideMark/>
          </w:tcPr>
          <w:p w14:paraId="58663F2E" w14:textId="77777777" w:rsidR="00043BDE" w:rsidRPr="00976619" w:rsidRDefault="00043BD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TOTAL</w:t>
            </w:r>
          </w:p>
        </w:tc>
        <w:tc>
          <w:tcPr>
            <w:tcW w:w="977" w:type="pct"/>
            <w:tcBorders>
              <w:top w:val="nil"/>
              <w:left w:val="nil"/>
              <w:bottom w:val="single" w:sz="8" w:space="0" w:color="BFBFBF"/>
              <w:right w:val="single" w:sz="8" w:space="0" w:color="BFBFBF"/>
            </w:tcBorders>
            <w:shd w:val="clear" w:color="000000" w:fill="002060"/>
            <w:vAlign w:val="center"/>
            <w:hideMark/>
          </w:tcPr>
          <w:p w14:paraId="6592B2A2" w14:textId="22EB242D" w:rsidR="00043BDE" w:rsidRPr="00976619" w:rsidRDefault="00043BD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 xml:space="preserve">$297.746.407.663 </w:t>
            </w:r>
          </w:p>
        </w:tc>
        <w:tc>
          <w:tcPr>
            <w:tcW w:w="1254" w:type="pct"/>
            <w:tcBorders>
              <w:top w:val="nil"/>
              <w:left w:val="nil"/>
              <w:bottom w:val="single" w:sz="8" w:space="0" w:color="BFBFBF"/>
              <w:right w:val="single" w:sz="8" w:space="0" w:color="BFBFBF"/>
            </w:tcBorders>
            <w:shd w:val="clear" w:color="000000" w:fill="002060"/>
            <w:vAlign w:val="center"/>
            <w:hideMark/>
          </w:tcPr>
          <w:p w14:paraId="47DBD268" w14:textId="77777777" w:rsidR="00043BDE" w:rsidRPr="00976619" w:rsidRDefault="00043BDE" w:rsidP="007B491B">
            <w:pPr>
              <w:spacing w:line="220" w:lineRule="exact"/>
              <w:jc w:val="center"/>
              <w:rPr>
                <w:rFonts w:eastAsia="Times New Roman" w:cs="Calibri"/>
                <w:b/>
                <w:bCs/>
                <w:color w:val="FFFFFF"/>
                <w:sz w:val="20"/>
                <w:szCs w:val="20"/>
                <w:lang w:val="es-CO" w:eastAsia="es-CO"/>
              </w:rPr>
            </w:pPr>
            <w:r w:rsidRPr="00976619">
              <w:rPr>
                <w:rFonts w:eastAsia="Times New Roman" w:cs="Calibri"/>
                <w:b/>
                <w:bCs/>
                <w:color w:val="FFFFFF"/>
                <w:sz w:val="20"/>
                <w:szCs w:val="20"/>
                <w:lang w:val="es-CO" w:eastAsia="es-CO"/>
              </w:rPr>
              <w:t xml:space="preserve">$297.746.407.663 </w:t>
            </w:r>
          </w:p>
        </w:tc>
        <w:tc>
          <w:tcPr>
            <w:tcW w:w="941" w:type="pct"/>
            <w:tcBorders>
              <w:top w:val="nil"/>
              <w:left w:val="nil"/>
              <w:bottom w:val="single" w:sz="8" w:space="0" w:color="BFBFBF"/>
              <w:right w:val="single" w:sz="8" w:space="0" w:color="BFBFBF"/>
            </w:tcBorders>
            <w:shd w:val="clear" w:color="000000" w:fill="002060"/>
            <w:vAlign w:val="center"/>
            <w:hideMark/>
          </w:tcPr>
          <w:p w14:paraId="5723CCA7" w14:textId="364F21D9" w:rsidR="00043BDE" w:rsidRPr="00976619" w:rsidRDefault="00043BDE" w:rsidP="007B491B">
            <w:pPr>
              <w:spacing w:line="220" w:lineRule="exact"/>
              <w:jc w:val="center"/>
              <w:rPr>
                <w:rFonts w:eastAsia="Times New Roman" w:cs="Calibri"/>
                <w:b/>
                <w:bCs/>
                <w:color w:val="FF0000"/>
                <w:sz w:val="20"/>
                <w:szCs w:val="20"/>
                <w:lang w:val="es-CO" w:eastAsia="es-CO"/>
              </w:rPr>
            </w:pPr>
            <w:r w:rsidRPr="00043BDE">
              <w:rPr>
                <w:rFonts w:eastAsia="Times New Roman" w:cs="Calibri"/>
                <w:b/>
                <w:bCs/>
                <w:color w:val="FFFFFF" w:themeColor="background1"/>
                <w:sz w:val="20"/>
                <w:szCs w:val="20"/>
                <w:lang w:val="es-CO" w:eastAsia="es-CO"/>
              </w:rPr>
              <w:t>$0</w:t>
            </w:r>
          </w:p>
        </w:tc>
        <w:tc>
          <w:tcPr>
            <w:tcW w:w="599" w:type="pct"/>
            <w:tcBorders>
              <w:top w:val="nil"/>
              <w:left w:val="nil"/>
              <w:bottom w:val="single" w:sz="8" w:space="0" w:color="BFBFBF"/>
              <w:right w:val="single" w:sz="8" w:space="0" w:color="BFBFBF"/>
            </w:tcBorders>
            <w:shd w:val="clear" w:color="000000" w:fill="002060"/>
            <w:vAlign w:val="center"/>
            <w:hideMark/>
          </w:tcPr>
          <w:p w14:paraId="136EF996" w14:textId="78E8758D" w:rsidR="00043BDE" w:rsidRPr="00976619" w:rsidRDefault="00043BDE" w:rsidP="007B491B">
            <w:pPr>
              <w:spacing w:line="220" w:lineRule="exact"/>
              <w:jc w:val="center"/>
              <w:rPr>
                <w:rFonts w:eastAsia="Times New Roman" w:cs="Calibri"/>
                <w:b/>
                <w:bCs/>
                <w:color w:val="FFFFFF"/>
                <w:sz w:val="20"/>
                <w:szCs w:val="20"/>
                <w:lang w:val="es-CO" w:eastAsia="es-CO"/>
              </w:rPr>
            </w:pPr>
            <w:r>
              <w:rPr>
                <w:rFonts w:eastAsia="Times New Roman" w:cs="Calibri"/>
                <w:b/>
                <w:bCs/>
                <w:color w:val="FFFFFF"/>
                <w:sz w:val="20"/>
                <w:szCs w:val="20"/>
                <w:lang w:val="es-CO" w:eastAsia="es-CO"/>
              </w:rPr>
              <w:t>0</w:t>
            </w:r>
            <w:r w:rsidRPr="00976619">
              <w:rPr>
                <w:rFonts w:eastAsia="Times New Roman" w:cs="Calibri"/>
                <w:b/>
                <w:bCs/>
                <w:color w:val="FFFFFF"/>
                <w:sz w:val="20"/>
                <w:szCs w:val="20"/>
                <w:lang w:val="es-CO" w:eastAsia="es-CO"/>
              </w:rPr>
              <w:t>%</w:t>
            </w:r>
          </w:p>
        </w:tc>
      </w:tr>
    </w:tbl>
    <w:p w14:paraId="4D9DBA3D" w14:textId="77777777" w:rsidR="003701CE" w:rsidRPr="004D6D0B" w:rsidRDefault="003701CE" w:rsidP="00DB3190">
      <w:pPr>
        <w:rPr>
          <w:lang w:val="es-CO"/>
        </w:rPr>
      </w:pPr>
    </w:p>
    <w:p w14:paraId="430B72DF" w14:textId="106F599B" w:rsidR="00283787" w:rsidRPr="00942B99" w:rsidRDefault="00283787" w:rsidP="00DB3190">
      <w:pPr>
        <w:jc w:val="both"/>
        <w:rPr>
          <w:lang w:val="es-CO"/>
        </w:rPr>
      </w:pPr>
      <w:r w:rsidRPr="00942B99">
        <w:rPr>
          <w:lang w:val="es-CO"/>
        </w:rPr>
        <w:t>En los anter</w:t>
      </w:r>
      <w:r w:rsidR="00624C28" w:rsidRPr="00942B99">
        <w:rPr>
          <w:lang w:val="es-CO"/>
        </w:rPr>
        <w:t>iores términos, se presenta el A</w:t>
      </w:r>
      <w:r w:rsidRPr="00942B99">
        <w:rPr>
          <w:lang w:val="es-CO"/>
        </w:rPr>
        <w:t>nteproyecto de presupuesto de la Jurisdicción Especial p</w:t>
      </w:r>
      <w:r w:rsidR="00BE1915" w:rsidRPr="00942B99">
        <w:rPr>
          <w:lang w:val="es-CO"/>
        </w:rPr>
        <w:t>ara la Paz para la vigencia 2021</w:t>
      </w:r>
      <w:r w:rsidRPr="00942B99">
        <w:rPr>
          <w:lang w:val="es-CO"/>
        </w:rPr>
        <w:t>.</w:t>
      </w:r>
    </w:p>
    <w:p w14:paraId="7092992E" w14:textId="77777777" w:rsidR="00283787" w:rsidRDefault="00283787" w:rsidP="00DB3190">
      <w:pPr>
        <w:jc w:val="both"/>
        <w:rPr>
          <w:rFonts w:eastAsia="Times New Roman"/>
          <w:b/>
          <w:noProof/>
          <w:lang w:val="es-CO"/>
        </w:rPr>
      </w:pPr>
    </w:p>
    <w:p w14:paraId="6BECCE29" w14:textId="77777777" w:rsidR="00BE1915" w:rsidRDefault="00BE1915" w:rsidP="00DB3190">
      <w:pPr>
        <w:jc w:val="both"/>
        <w:rPr>
          <w:rFonts w:eastAsia="Times New Roman"/>
          <w:b/>
          <w:noProof/>
          <w:lang w:val="es-CO"/>
        </w:rPr>
      </w:pPr>
    </w:p>
    <w:p w14:paraId="76ADE18B" w14:textId="77777777" w:rsidR="00BE1915" w:rsidRDefault="00BE1915" w:rsidP="00DB3190">
      <w:pPr>
        <w:jc w:val="both"/>
        <w:rPr>
          <w:rFonts w:eastAsia="Times New Roman"/>
          <w:b/>
          <w:noProof/>
          <w:lang w:val="es-CO"/>
        </w:rPr>
      </w:pPr>
    </w:p>
    <w:p w14:paraId="6890DBA8" w14:textId="77777777" w:rsidR="00624C28" w:rsidRPr="00A61EA2" w:rsidRDefault="00624C28" w:rsidP="00DB3190">
      <w:pPr>
        <w:jc w:val="both"/>
        <w:rPr>
          <w:rFonts w:eastAsia="Times New Roman"/>
          <w:b/>
          <w:noProof/>
          <w:lang w:val="es-CO"/>
        </w:rPr>
      </w:pPr>
    </w:p>
    <w:p w14:paraId="0FB88A38" w14:textId="77777777" w:rsidR="00357226" w:rsidRDefault="00357226" w:rsidP="00DB3190">
      <w:pPr>
        <w:jc w:val="both"/>
        <w:rPr>
          <w:rFonts w:eastAsia="Times New Roman"/>
          <w:b/>
          <w:noProof/>
          <w:lang w:val="es-CO"/>
        </w:rPr>
      </w:pPr>
    </w:p>
    <w:p w14:paraId="217D7623" w14:textId="77777777" w:rsidR="002E71AF" w:rsidRDefault="002E71AF" w:rsidP="00DB3190">
      <w:pPr>
        <w:jc w:val="both"/>
        <w:rPr>
          <w:rFonts w:eastAsia="Times New Roman"/>
          <w:b/>
          <w:noProof/>
          <w:lang w:val="es-CO"/>
        </w:rPr>
      </w:pPr>
    </w:p>
    <w:p w14:paraId="2DB8A979" w14:textId="77777777" w:rsidR="007B491B" w:rsidRDefault="007B491B" w:rsidP="00DB3190">
      <w:pPr>
        <w:jc w:val="both"/>
        <w:rPr>
          <w:rFonts w:eastAsia="Times New Roman"/>
          <w:b/>
          <w:noProof/>
          <w:lang w:val="es-CO"/>
        </w:rPr>
      </w:pPr>
    </w:p>
    <w:p w14:paraId="204A54BC" w14:textId="77777777" w:rsidR="007B491B" w:rsidRDefault="007B491B" w:rsidP="00DB3190">
      <w:pPr>
        <w:jc w:val="both"/>
        <w:rPr>
          <w:rFonts w:eastAsia="Times New Roman"/>
          <w:b/>
          <w:noProof/>
          <w:lang w:val="es-CO"/>
        </w:rPr>
      </w:pPr>
    </w:p>
    <w:p w14:paraId="359B43B6" w14:textId="77777777" w:rsidR="00357226" w:rsidRPr="00A61EA2" w:rsidRDefault="00357226" w:rsidP="00DB3190">
      <w:pPr>
        <w:jc w:val="both"/>
        <w:rPr>
          <w:rFonts w:eastAsia="Times New Roman"/>
          <w:b/>
          <w:noProof/>
          <w:lang w:val="es-CO"/>
        </w:rPr>
      </w:pPr>
      <w:r w:rsidRPr="00A61EA2">
        <w:rPr>
          <w:rFonts w:eastAsia="Times New Roman"/>
          <w:b/>
          <w:noProof/>
          <w:lang w:val="es-CO"/>
        </w:rPr>
        <w:t>MARIA DEL PILAR BAHAMÓN FALLA</w:t>
      </w:r>
    </w:p>
    <w:p w14:paraId="20816DE4" w14:textId="3861E682" w:rsidR="00357226" w:rsidRPr="00A61EA2" w:rsidRDefault="004D73FC" w:rsidP="00DB3190">
      <w:pPr>
        <w:jc w:val="both"/>
        <w:rPr>
          <w:rFonts w:eastAsia="Times New Roman"/>
          <w:b/>
          <w:noProof/>
          <w:lang w:val="es-CO"/>
        </w:rPr>
      </w:pPr>
      <w:r>
        <w:rPr>
          <w:rFonts w:eastAsia="Times New Roman"/>
          <w:b/>
          <w:noProof/>
          <w:lang w:val="es-CO"/>
        </w:rPr>
        <w:t>Secretar</w:t>
      </w:r>
      <w:r w:rsidR="00680E9B">
        <w:rPr>
          <w:rFonts w:eastAsia="Times New Roman"/>
          <w:b/>
          <w:noProof/>
          <w:lang w:val="es-CO"/>
        </w:rPr>
        <w:t>i</w:t>
      </w:r>
      <w:r>
        <w:rPr>
          <w:rFonts w:eastAsia="Times New Roman"/>
          <w:b/>
          <w:noProof/>
          <w:lang w:val="es-CO"/>
        </w:rPr>
        <w:t>a Ejecutiva</w:t>
      </w:r>
    </w:p>
    <w:p w14:paraId="2DC482A0" w14:textId="77777777" w:rsidR="00C823B4" w:rsidRDefault="00C823B4" w:rsidP="00DB3190">
      <w:pPr>
        <w:rPr>
          <w:rFonts w:eastAsia="Times New Roman"/>
          <w:sz w:val="16"/>
          <w:szCs w:val="16"/>
          <w:lang w:val="es-CO"/>
        </w:rPr>
      </w:pPr>
    </w:p>
    <w:p w14:paraId="16810DDA" w14:textId="699374C2" w:rsidR="00357226" w:rsidRPr="00A61EA2" w:rsidRDefault="00357226" w:rsidP="00DB3190">
      <w:pPr>
        <w:rPr>
          <w:rFonts w:eastAsia="Times New Roman"/>
          <w:sz w:val="16"/>
          <w:szCs w:val="16"/>
          <w:lang w:val="es-CO"/>
        </w:rPr>
      </w:pPr>
      <w:r w:rsidRPr="00A61EA2">
        <w:rPr>
          <w:rFonts w:eastAsia="Times New Roman"/>
          <w:sz w:val="16"/>
          <w:szCs w:val="16"/>
          <w:lang w:val="es-CO"/>
        </w:rPr>
        <w:t xml:space="preserve">Elaboró: </w:t>
      </w:r>
      <w:r w:rsidR="006504F6">
        <w:rPr>
          <w:rFonts w:eastAsia="Times New Roman"/>
          <w:sz w:val="16"/>
          <w:szCs w:val="16"/>
          <w:lang w:val="es-CO"/>
        </w:rPr>
        <w:t xml:space="preserve">Libia </w:t>
      </w:r>
      <w:r w:rsidR="00680E9B">
        <w:rPr>
          <w:rFonts w:eastAsia="Times New Roman"/>
          <w:sz w:val="16"/>
          <w:szCs w:val="16"/>
          <w:lang w:val="es-CO"/>
        </w:rPr>
        <w:t xml:space="preserve">Isabel </w:t>
      </w:r>
      <w:r w:rsidR="006504F6">
        <w:rPr>
          <w:rFonts w:eastAsia="Times New Roman"/>
          <w:sz w:val="16"/>
          <w:szCs w:val="16"/>
          <w:lang w:val="es-CO"/>
        </w:rPr>
        <w:t>Barrera</w:t>
      </w:r>
      <w:r w:rsidRPr="00A61EA2">
        <w:rPr>
          <w:rFonts w:eastAsia="Times New Roman"/>
          <w:sz w:val="16"/>
          <w:szCs w:val="16"/>
          <w:lang w:val="es-CO"/>
        </w:rPr>
        <w:t xml:space="preserve"> </w:t>
      </w:r>
      <w:r w:rsidR="00680E9B">
        <w:rPr>
          <w:rFonts w:eastAsia="Times New Roman"/>
          <w:sz w:val="16"/>
          <w:szCs w:val="16"/>
          <w:lang w:val="es-CO"/>
        </w:rPr>
        <w:t>Pineda</w:t>
      </w:r>
    </w:p>
    <w:p w14:paraId="6FFD3411" w14:textId="77777777" w:rsidR="00357226" w:rsidRPr="00A61EA2" w:rsidRDefault="00357226" w:rsidP="00DB3190">
      <w:pPr>
        <w:rPr>
          <w:rFonts w:eastAsia="Times New Roman"/>
          <w:sz w:val="16"/>
          <w:szCs w:val="16"/>
          <w:lang w:val="es-CO"/>
        </w:rPr>
      </w:pPr>
      <w:r w:rsidRPr="00A61EA2">
        <w:rPr>
          <w:rFonts w:eastAsia="Times New Roman"/>
          <w:sz w:val="16"/>
          <w:szCs w:val="16"/>
          <w:lang w:val="es-CO"/>
        </w:rPr>
        <w:t>Revisó: Adela Parra G. - Juan David Olarte</w:t>
      </w:r>
    </w:p>
    <w:p w14:paraId="5FC36224" w14:textId="23A4D205" w:rsidR="00357226" w:rsidRPr="00A61EA2" w:rsidRDefault="00357226" w:rsidP="00DB3190">
      <w:pPr>
        <w:rPr>
          <w:rFonts w:eastAsia="Times New Roman"/>
          <w:sz w:val="16"/>
          <w:szCs w:val="16"/>
          <w:lang w:val="es-CO"/>
        </w:rPr>
      </w:pPr>
      <w:r w:rsidRPr="00A61EA2">
        <w:rPr>
          <w:rFonts w:eastAsia="Times New Roman"/>
          <w:sz w:val="16"/>
          <w:szCs w:val="16"/>
          <w:lang w:val="es-CO"/>
        </w:rPr>
        <w:t>Aprobó: Ana Luc</w:t>
      </w:r>
      <w:r w:rsidR="00942B99">
        <w:rPr>
          <w:rFonts w:eastAsia="Times New Roman"/>
          <w:sz w:val="16"/>
          <w:szCs w:val="16"/>
          <w:lang w:val="es-CO"/>
        </w:rPr>
        <w:t>í</w:t>
      </w:r>
      <w:r w:rsidRPr="00A61EA2">
        <w:rPr>
          <w:rFonts w:eastAsia="Times New Roman"/>
          <w:sz w:val="16"/>
          <w:szCs w:val="16"/>
          <w:lang w:val="es-CO"/>
        </w:rPr>
        <w:t>a Rosales – Adela Parra G.</w:t>
      </w:r>
    </w:p>
    <w:sectPr w:rsidR="00357226" w:rsidRPr="00A61EA2" w:rsidSect="00266804">
      <w:headerReference w:type="even" r:id="rId14"/>
      <w:headerReference w:type="default" r:id="rId15"/>
      <w:footerReference w:type="even" r:id="rId16"/>
      <w:footerReference w:type="default" r:id="rId17"/>
      <w:headerReference w:type="first" r:id="rId18"/>
      <w:footerReference w:type="first" r:id="rId19"/>
      <w:type w:val="continuous"/>
      <w:pgSz w:w="12240" w:h="18720" w:code="14"/>
      <w:pgMar w:top="2041" w:right="1701" w:bottom="1928" w:left="136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3038B" w14:textId="77777777" w:rsidR="00B9097B" w:rsidRDefault="00B9097B" w:rsidP="001D347F">
      <w:r>
        <w:separator/>
      </w:r>
    </w:p>
  </w:endnote>
  <w:endnote w:type="continuationSeparator" w:id="0">
    <w:p w14:paraId="2F4C1416" w14:textId="77777777" w:rsidR="00B9097B" w:rsidRDefault="00B9097B" w:rsidP="001D347F">
      <w:r>
        <w:continuationSeparator/>
      </w:r>
    </w:p>
  </w:endnote>
  <w:endnote w:type="continuationNotice" w:id="1">
    <w:p w14:paraId="0B3C4DC4" w14:textId="77777777" w:rsidR="00B9097B" w:rsidRDefault="00B90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venir Roman">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New Roman (Títulos en alf">
    <w:altName w:val="Times New Roman"/>
    <w:charset w:val="00"/>
    <w:family w:val="roman"/>
    <w:pitch w:val="variable"/>
    <w:sig w:usb0="E0002AEF" w:usb1="C0007841" w:usb2="00000009" w:usb3="00000000" w:csb0="000001FF" w:csb1="00000000"/>
  </w:font>
  <w:font w:name="Times New Roman (Cuerpo en alfa">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204938153"/>
      <w:docPartObj>
        <w:docPartGallery w:val="Page Numbers (Bottom of Page)"/>
        <w:docPartUnique/>
      </w:docPartObj>
    </w:sdtPr>
    <w:sdtEndPr>
      <w:rPr>
        <w:rStyle w:val="Nmerodepgina"/>
      </w:rPr>
    </w:sdtEndPr>
    <w:sdtContent>
      <w:p w14:paraId="085DF5E1" w14:textId="77777777" w:rsidR="0059013B" w:rsidRDefault="0059013B" w:rsidP="00050BFF">
        <w:pPr>
          <w:pStyle w:val="Piedepgina"/>
          <w:framePr w:wrap="none" w:vAnchor="text" w:hAnchor="margin" w:xAlign="right" w:y="-66"/>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sdtContent>
  </w:sdt>
  <w:p w14:paraId="750B0418" w14:textId="77777777" w:rsidR="0059013B" w:rsidRDefault="0059013B">
    <w:pPr>
      <w:pStyle w:val="Piedepgina"/>
    </w:pPr>
  </w:p>
  <w:p w14:paraId="267F2624" w14:textId="77777777" w:rsidR="0059013B" w:rsidRDefault="005901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42281289"/>
      <w:docPartObj>
        <w:docPartGallery w:val="Page Numbers (Bottom of Page)"/>
        <w:docPartUnique/>
      </w:docPartObj>
    </w:sdtPr>
    <w:sdtEndPr>
      <w:rPr>
        <w:rStyle w:val="Nmerodepgina"/>
      </w:rPr>
    </w:sdtEndPr>
    <w:sdtContent>
      <w:p w14:paraId="798C6965" w14:textId="77777777" w:rsidR="0059013B" w:rsidRDefault="0059013B" w:rsidP="00050BFF">
        <w:pPr>
          <w:pStyle w:val="Piedepgina"/>
          <w:framePr w:wrap="none" w:vAnchor="text" w:hAnchor="margin" w:xAlign="right" w:y="-66"/>
          <w:rPr>
            <w:rStyle w:val="Nmerodepgina"/>
          </w:rPr>
        </w:pPr>
        <w:r>
          <w:rPr>
            <w:rStyle w:val="Nmerodepgina"/>
          </w:rPr>
          <w:fldChar w:fldCharType="begin"/>
        </w:r>
        <w:r>
          <w:rPr>
            <w:rStyle w:val="Nmerodepgina"/>
          </w:rPr>
          <w:instrText xml:space="preserve"> PAGE </w:instrText>
        </w:r>
        <w:r>
          <w:rPr>
            <w:rStyle w:val="Nmerodepgina"/>
          </w:rPr>
          <w:fldChar w:fldCharType="separate"/>
        </w:r>
        <w:r w:rsidR="00FE4EBE">
          <w:rPr>
            <w:rStyle w:val="Nmerodepgina"/>
            <w:noProof/>
          </w:rPr>
          <w:t>4</w:t>
        </w:r>
        <w:r>
          <w:rPr>
            <w:rStyle w:val="Nmerodepgina"/>
          </w:rPr>
          <w:fldChar w:fldCharType="end"/>
        </w:r>
      </w:p>
    </w:sdtContent>
  </w:sdt>
  <w:p w14:paraId="53AF8A19" w14:textId="77777777" w:rsidR="0059013B" w:rsidRDefault="0059013B">
    <w:pPr>
      <w:pStyle w:val="Piedepgina"/>
    </w:pPr>
  </w:p>
  <w:p w14:paraId="683999D2" w14:textId="77777777" w:rsidR="0059013B" w:rsidRDefault="005901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77311355"/>
      <w:docPartObj>
        <w:docPartGallery w:val="Page Numbers (Bottom of Page)"/>
        <w:docPartUnique/>
      </w:docPartObj>
    </w:sdtPr>
    <w:sdtEndPr>
      <w:rPr>
        <w:rStyle w:val="Nmerodepgina"/>
      </w:rPr>
    </w:sdtEndPr>
    <w:sdtContent>
      <w:p w14:paraId="4FD0DABC" w14:textId="0B5C7E89" w:rsidR="0059013B" w:rsidRDefault="0059013B" w:rsidP="003855C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D1C99">
          <w:rPr>
            <w:rStyle w:val="Nmerodepgina"/>
            <w:noProof/>
          </w:rPr>
          <w:t>1</w:t>
        </w:r>
        <w:r>
          <w:rPr>
            <w:rStyle w:val="Nmerodepgina"/>
          </w:rPr>
          <w:fldChar w:fldCharType="end"/>
        </w:r>
      </w:p>
    </w:sdtContent>
  </w:sdt>
  <w:p w14:paraId="1B42BDBA" w14:textId="77777777" w:rsidR="0059013B" w:rsidRDefault="0059013B" w:rsidP="00050BFF">
    <w:pPr>
      <w:pStyle w:val="Piedepgina"/>
      <w:ind w:right="360"/>
    </w:pPr>
  </w:p>
  <w:p w14:paraId="591B7A63" w14:textId="77777777" w:rsidR="0059013B" w:rsidRDefault="00590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FC302" w14:textId="77777777" w:rsidR="00B9097B" w:rsidRDefault="00B9097B" w:rsidP="001D347F">
      <w:r>
        <w:separator/>
      </w:r>
    </w:p>
  </w:footnote>
  <w:footnote w:type="continuationSeparator" w:id="0">
    <w:p w14:paraId="62E9D811" w14:textId="77777777" w:rsidR="00B9097B" w:rsidRDefault="00B9097B" w:rsidP="001D347F">
      <w:r>
        <w:continuationSeparator/>
      </w:r>
    </w:p>
  </w:footnote>
  <w:footnote w:type="continuationNotice" w:id="1">
    <w:p w14:paraId="30BC1B87" w14:textId="77777777" w:rsidR="00B9097B" w:rsidRDefault="00B9097B"/>
  </w:footnote>
  <w:footnote w:id="2">
    <w:p w14:paraId="537491E7" w14:textId="77777777" w:rsidR="0059013B" w:rsidRPr="001D1C99" w:rsidRDefault="0059013B" w:rsidP="00843BE9">
      <w:pPr>
        <w:pStyle w:val="textocorrido"/>
        <w:spacing w:before="0"/>
        <w:jc w:val="both"/>
        <w:rPr>
          <w:rFonts w:ascii="Palatino Linotype" w:hAnsi="Palatino Linotype"/>
          <w:sz w:val="16"/>
          <w:szCs w:val="16"/>
          <w:lang w:val="es-CO"/>
        </w:rPr>
      </w:pPr>
      <w:r w:rsidRPr="00843BE9">
        <w:rPr>
          <w:rStyle w:val="Refdenotaalpie"/>
          <w:rFonts w:ascii="Palatino Linotype" w:hAnsi="Palatino Linotype"/>
          <w:sz w:val="16"/>
          <w:szCs w:val="16"/>
        </w:rPr>
        <w:footnoteRef/>
      </w:r>
      <w:r w:rsidRPr="001D1C99">
        <w:rPr>
          <w:rFonts w:ascii="Palatino Linotype" w:hAnsi="Palatino Linotype"/>
          <w:sz w:val="16"/>
          <w:szCs w:val="16"/>
          <w:lang w:val="es-CO"/>
        </w:rPr>
        <w:t xml:space="preserve"> El organigrama de la Jurisdicción puede consultarse en el siguiente link </w:t>
      </w:r>
      <w:hyperlink r:id="rId1" w:history="1">
        <w:r w:rsidRPr="001D1C99">
          <w:rPr>
            <w:rStyle w:val="Hipervnculo"/>
            <w:rFonts w:ascii="Palatino Linotype" w:hAnsi="Palatino Linotype"/>
            <w:sz w:val="16"/>
            <w:szCs w:val="16"/>
            <w:lang w:val="es-CO"/>
          </w:rPr>
          <w:t>https://www.jep.gov.co/Paginas/Transparencia/Talento/Organigrama.aspx</w:t>
        </w:r>
      </w:hyperlink>
      <w:r w:rsidRPr="001D1C99">
        <w:rPr>
          <w:rFonts w:ascii="Palatino Linotype" w:hAnsi="Palatino Linotype"/>
          <w:sz w:val="16"/>
          <w:szCs w:val="16"/>
          <w:lang w:val="es-CO"/>
        </w:rPr>
        <w:t xml:space="preserve">. </w:t>
      </w:r>
      <w:r w:rsidRPr="003B5234">
        <w:rPr>
          <w:rFonts w:ascii="Palatino Linotype" w:hAnsi="Palatino Linotype"/>
          <w:sz w:val="16"/>
          <w:szCs w:val="16"/>
          <w:lang w:val="es-CO"/>
        </w:rPr>
        <w:t xml:space="preserve">De igual forma, para una explicación completa y sencilla de cómo funciona el área jurisdiccional se puede consultar el siguiente link </w:t>
      </w:r>
      <w:hyperlink r:id="rId2" w:history="1">
        <w:r w:rsidRPr="003B5234">
          <w:rPr>
            <w:rStyle w:val="Hipervnculo"/>
            <w:rFonts w:ascii="Palatino Linotype" w:hAnsi="Palatino Linotype"/>
            <w:sz w:val="16"/>
            <w:szCs w:val="16"/>
            <w:lang w:val="es-CO"/>
          </w:rPr>
          <w:t>https://www.jep.gov.co/Infografas/conozcalajep.pdf</w:t>
        </w:r>
      </w:hyperlink>
      <w:r w:rsidRPr="003B5234">
        <w:rPr>
          <w:rFonts w:ascii="Palatino Linotype" w:hAnsi="Palatino Linotype"/>
          <w:sz w:val="16"/>
          <w:szCs w:val="16"/>
          <w:lang w:val="es-CO"/>
        </w:rPr>
        <w:t xml:space="preserve"> </w:t>
      </w:r>
    </w:p>
  </w:footnote>
  <w:footnote w:id="3">
    <w:p w14:paraId="4D237959" w14:textId="6F0BD3E9" w:rsidR="0059013B" w:rsidRPr="00A43FA2" w:rsidRDefault="0059013B" w:rsidP="00A43FA2">
      <w:pPr>
        <w:jc w:val="both"/>
        <w:rPr>
          <w:sz w:val="16"/>
          <w:szCs w:val="16"/>
          <w:lang w:val="es-CO"/>
        </w:rPr>
      </w:pPr>
      <w:r w:rsidRPr="00A43FA2">
        <w:rPr>
          <w:rStyle w:val="Refdenotaalpie"/>
          <w:sz w:val="16"/>
          <w:szCs w:val="16"/>
        </w:rPr>
        <w:footnoteRef/>
      </w:r>
      <w:r w:rsidRPr="00A43FA2">
        <w:rPr>
          <w:sz w:val="16"/>
          <w:szCs w:val="16"/>
          <w:lang w:val="es-CO"/>
        </w:rPr>
        <w:t xml:space="preserve"> El Tribunal de Paz es el órgano de cierre y la máxima instancia de la JEP, conformado por 5 secciones: i) De Reconocimiento de Verdad Responsabilidad, ii) De Ausencia de Reconocimiento y Verdad, iii) De Revisión de Sentencias, iv) De Apelación y v) Estabilidad, Eficacia y cumplimiento. Por su parte, son 3 Salas de Justicia las que conforman la JEP: i) De Reconocimiento de Verdad, Responsabilidad y Determinación de los Hechos y Conductas, ii) Sala de Definición de las situaciones jurídicas y, iii) Sala de Amnistía o Indulto. </w:t>
      </w:r>
    </w:p>
  </w:footnote>
  <w:footnote w:id="4">
    <w:p w14:paraId="7F3F0E5B" w14:textId="1ED4D5BB" w:rsidR="0059013B" w:rsidRPr="00874375" w:rsidRDefault="0059013B" w:rsidP="00A43FA2">
      <w:pPr>
        <w:pStyle w:val="Textonotapie"/>
        <w:rPr>
          <w:rFonts w:ascii="Palatino Linotype" w:hAnsi="Palatino Linotype"/>
          <w:sz w:val="16"/>
          <w:szCs w:val="16"/>
        </w:rPr>
      </w:pPr>
      <w:r w:rsidRPr="00A43FA2">
        <w:rPr>
          <w:rStyle w:val="Refdenotaalpie"/>
          <w:rFonts w:ascii="Palatino Linotype" w:hAnsi="Palatino Linotype"/>
          <w:sz w:val="16"/>
          <w:szCs w:val="16"/>
        </w:rPr>
        <w:footnoteRef/>
      </w:r>
      <w:r w:rsidRPr="00A43FA2">
        <w:rPr>
          <w:rFonts w:ascii="Palatino Linotype" w:hAnsi="Palatino Linotype"/>
          <w:sz w:val="16"/>
          <w:szCs w:val="16"/>
        </w:rPr>
        <w:t xml:space="preserve"> A la Sala de Reconocimiento de Ver</w:t>
      </w:r>
      <w:r w:rsidRPr="00874375">
        <w:rPr>
          <w:rFonts w:ascii="Palatino Linotype" w:hAnsi="Palatino Linotype"/>
          <w:sz w:val="16"/>
          <w:szCs w:val="16"/>
        </w:rPr>
        <w:t>dad, de Responsabilidad y de Determinaci</w:t>
      </w:r>
      <w:r>
        <w:rPr>
          <w:rFonts w:ascii="Palatino Linotype" w:hAnsi="Palatino Linotype"/>
          <w:sz w:val="16"/>
          <w:szCs w:val="16"/>
        </w:rPr>
        <w:t>ón le corresponde:</w:t>
      </w:r>
      <w:r w:rsidRPr="00874375">
        <w:rPr>
          <w:rFonts w:ascii="Palatino Linotype" w:hAnsi="Palatino Linotype"/>
          <w:sz w:val="16"/>
          <w:szCs w:val="16"/>
        </w:rPr>
        <w:t xml:space="preserve"> A</w:t>
      </w:r>
      <w:r>
        <w:rPr>
          <w:rFonts w:ascii="Palatino Linotype" w:hAnsi="Palatino Linotype"/>
          <w:sz w:val="16"/>
          <w:szCs w:val="16"/>
        </w:rPr>
        <w:t>brir</w:t>
      </w:r>
      <w:r w:rsidRPr="00874375">
        <w:rPr>
          <w:rFonts w:ascii="Palatino Linotype" w:hAnsi="Palatino Linotype"/>
          <w:sz w:val="16"/>
          <w:szCs w:val="16"/>
        </w:rPr>
        <w:t xml:space="preserve"> los casos que investiga la JEP sobre los hechos más graves y representativos</w:t>
      </w:r>
      <w:r>
        <w:rPr>
          <w:rFonts w:ascii="Palatino Linotype" w:hAnsi="Palatino Linotype"/>
          <w:sz w:val="16"/>
          <w:szCs w:val="16"/>
        </w:rPr>
        <w:t>, a</w:t>
      </w:r>
      <w:r w:rsidRPr="00874375">
        <w:rPr>
          <w:rFonts w:ascii="Palatino Linotype" w:hAnsi="Palatino Linotype"/>
          <w:sz w:val="16"/>
          <w:szCs w:val="16"/>
        </w:rPr>
        <w:t xml:space="preserve"> partir de unos criterios de selecci</w:t>
      </w:r>
      <w:r w:rsidRPr="00874375">
        <w:rPr>
          <w:rFonts w:ascii="Palatino Linotype" w:hAnsi="Palatino Linotype" w:cs="Palatino Linotype"/>
          <w:sz w:val="16"/>
          <w:szCs w:val="16"/>
        </w:rPr>
        <w:t>ó</w:t>
      </w:r>
      <w:r w:rsidRPr="00874375">
        <w:rPr>
          <w:rFonts w:ascii="Palatino Linotype" w:hAnsi="Palatino Linotype"/>
          <w:sz w:val="16"/>
          <w:szCs w:val="16"/>
        </w:rPr>
        <w:t>n y priorizaci</w:t>
      </w:r>
      <w:r w:rsidRPr="00874375">
        <w:rPr>
          <w:rFonts w:ascii="Palatino Linotype" w:hAnsi="Palatino Linotype" w:cs="Palatino Linotype"/>
          <w:sz w:val="16"/>
          <w:szCs w:val="16"/>
        </w:rPr>
        <w:t>ó</w:t>
      </w:r>
      <w:r w:rsidRPr="00874375">
        <w:rPr>
          <w:rFonts w:ascii="Palatino Linotype" w:hAnsi="Palatino Linotype"/>
          <w:sz w:val="16"/>
          <w:szCs w:val="16"/>
        </w:rPr>
        <w:t>n. Recibir, contrastar y cotejar los informes sobre hechos relacionados con el conflicto que le presenten órganos estatales y las organizaciones sociales y de víctimas. Recibir versiones individuales y colectivas, y convocar a audiencia de responsabilidad. Remitir a las dem</w:t>
      </w:r>
      <w:r w:rsidRPr="00874375">
        <w:rPr>
          <w:rFonts w:ascii="Palatino Linotype" w:hAnsi="Palatino Linotype" w:cs="Palatino Linotype"/>
          <w:sz w:val="16"/>
          <w:szCs w:val="16"/>
        </w:rPr>
        <w:t>á</w:t>
      </w:r>
      <w:r w:rsidRPr="00874375">
        <w:rPr>
          <w:rFonts w:ascii="Palatino Linotype" w:hAnsi="Palatino Linotype"/>
          <w:sz w:val="16"/>
          <w:szCs w:val="16"/>
        </w:rPr>
        <w:t>s salas las personas que podrían ser beneficiadas con beneficios jurídicos según la Ley 1820. Presentar resoluciones de conclusiones de los casos priorizados ante el Tribunal para la Paz.</w:t>
      </w:r>
    </w:p>
  </w:footnote>
  <w:footnote w:id="5">
    <w:p w14:paraId="30F05FCD" w14:textId="3B89D31C" w:rsidR="0059013B" w:rsidRPr="00ED2E52" w:rsidRDefault="0059013B" w:rsidP="00ED2E52">
      <w:pPr>
        <w:pStyle w:val="Textonotapie"/>
        <w:rPr>
          <w:rFonts w:ascii="Palatino Linotype" w:hAnsi="Palatino Linotype"/>
          <w:sz w:val="16"/>
          <w:szCs w:val="16"/>
        </w:rPr>
      </w:pPr>
      <w:r w:rsidRPr="00ED2E52">
        <w:rPr>
          <w:rStyle w:val="Refdenotaalpie"/>
          <w:rFonts w:ascii="Palatino Linotype" w:hAnsi="Palatino Linotype"/>
          <w:sz w:val="16"/>
          <w:szCs w:val="16"/>
        </w:rPr>
        <w:footnoteRef/>
      </w:r>
      <w:r w:rsidRPr="00ED2E52">
        <w:rPr>
          <w:rFonts w:ascii="Palatino Linotype" w:hAnsi="Palatino Linotype"/>
          <w:sz w:val="16"/>
          <w:szCs w:val="16"/>
        </w:rPr>
        <w:t xml:space="preserve"> Ver Libro segundo, titulo primero, capítulo primero de la Ley 1922 de 2018. </w:t>
      </w:r>
    </w:p>
  </w:footnote>
  <w:footnote w:id="6">
    <w:p w14:paraId="74F0F542" w14:textId="2F667FF1" w:rsidR="0059013B" w:rsidRPr="006A1B70" w:rsidRDefault="0059013B">
      <w:pPr>
        <w:pStyle w:val="Textonotapie"/>
        <w:rPr>
          <w:rFonts w:ascii="Palatino Linotype" w:hAnsi="Palatino Linotype"/>
          <w:sz w:val="16"/>
          <w:szCs w:val="16"/>
        </w:rPr>
      </w:pPr>
      <w:r w:rsidRPr="006A1B70">
        <w:rPr>
          <w:rStyle w:val="Refdenotaalpie"/>
          <w:rFonts w:ascii="Palatino Linotype" w:hAnsi="Palatino Linotype"/>
          <w:sz w:val="16"/>
          <w:szCs w:val="16"/>
        </w:rPr>
        <w:footnoteRef/>
      </w:r>
      <w:r w:rsidRPr="006A1B70">
        <w:rPr>
          <w:rFonts w:ascii="Palatino Linotype" w:hAnsi="Palatino Linotype"/>
          <w:sz w:val="16"/>
          <w:szCs w:val="16"/>
        </w:rPr>
        <w:t xml:space="preserve"> Durante 2019</w:t>
      </w:r>
      <w:r>
        <w:rPr>
          <w:rFonts w:ascii="Palatino Linotype" w:hAnsi="Palatino Linotype"/>
          <w:sz w:val="16"/>
          <w:szCs w:val="16"/>
        </w:rPr>
        <w:t xml:space="preserve">, el Órgano de Gobierno suscribió 59 Acuerdos que tratan asuntos relativos al Talento Humano de la JEP, de los cuáles 51% correspondieron a movilidad de planta.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96D8C" w14:textId="026CE39C" w:rsidR="0059013B" w:rsidRDefault="0059013B" w:rsidP="00050BFF">
    <w:pPr>
      <w:pStyle w:val="Encabezado"/>
    </w:pPr>
    <w:r>
      <w:rPr>
        <w:noProof/>
        <w:lang w:val="es-CO" w:eastAsia="es-CO"/>
      </w:rPr>
      <w:drawing>
        <wp:anchor distT="0" distB="0" distL="114300" distR="114300" simplePos="0" relativeHeight="251689984" behindDoc="1" locked="0" layoutInCell="1" allowOverlap="1" wp14:anchorId="32F41761" wp14:editId="5B590AEB">
          <wp:simplePos x="0" y="0"/>
          <wp:positionH relativeFrom="column">
            <wp:posOffset>-838110</wp:posOffset>
          </wp:positionH>
          <wp:positionV relativeFrom="paragraph">
            <wp:posOffset>13063</wp:posOffset>
          </wp:positionV>
          <wp:extent cx="7759337" cy="11867271"/>
          <wp:effectExtent l="0" t="0" r="0"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icio2.2.png"/>
                  <pic:cNvPicPr/>
                </pic:nvPicPr>
                <pic:blipFill>
                  <a:blip r:embed="rId1">
                    <a:extLst>
                      <a:ext uri="{28A0092B-C50C-407E-A947-70E740481C1C}">
                        <a14:useLocalDpi xmlns:a14="http://schemas.microsoft.com/office/drawing/2010/main" val="0"/>
                      </a:ext>
                    </a:extLst>
                  </a:blip>
                  <a:stretch>
                    <a:fillRect/>
                  </a:stretch>
                </pic:blipFill>
                <pic:spPr>
                  <a:xfrm>
                    <a:off x="0" y="0"/>
                    <a:ext cx="7765022" cy="1187596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4EE3CC6A" w14:textId="77777777" w:rsidR="0059013B" w:rsidRDefault="005901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FFAB6" w14:textId="4616E69C" w:rsidR="0059013B" w:rsidRDefault="0059013B" w:rsidP="00050BFF">
    <w:pPr>
      <w:pStyle w:val="Encabezado"/>
    </w:pPr>
    <w:r>
      <w:rPr>
        <w:noProof/>
        <w:lang w:val="es-CO" w:eastAsia="es-CO"/>
      </w:rPr>
      <w:drawing>
        <wp:anchor distT="0" distB="0" distL="114300" distR="114300" simplePos="0" relativeHeight="251693056" behindDoc="1" locked="0" layoutInCell="1" allowOverlap="1" wp14:anchorId="7E18C8A1" wp14:editId="72DB906D">
          <wp:simplePos x="0" y="0"/>
          <wp:positionH relativeFrom="column">
            <wp:posOffset>-843168</wp:posOffset>
          </wp:positionH>
          <wp:positionV relativeFrom="paragraph">
            <wp:posOffset>19685</wp:posOffset>
          </wp:positionV>
          <wp:extent cx="7757327" cy="11864197"/>
          <wp:effectExtent l="0" t="0" r="0" b="0"/>
          <wp:wrapNone/>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al-04.png"/>
                  <pic:cNvPicPr/>
                </pic:nvPicPr>
                <pic:blipFill>
                  <a:blip r:embed="rId1">
                    <a:extLst>
                      <a:ext uri="{28A0092B-C50C-407E-A947-70E740481C1C}">
                        <a14:useLocalDpi xmlns:a14="http://schemas.microsoft.com/office/drawing/2010/main" val="0"/>
                      </a:ext>
                    </a:extLst>
                  </a:blip>
                  <a:stretch>
                    <a:fillRect/>
                  </a:stretch>
                </pic:blipFill>
                <pic:spPr>
                  <a:xfrm>
                    <a:off x="0" y="0"/>
                    <a:ext cx="7757327" cy="11864197"/>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2A6A31DE" w14:textId="77777777" w:rsidR="0059013B" w:rsidRDefault="005901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50A37" w14:textId="0F4AC68E" w:rsidR="0059013B" w:rsidRDefault="00FD0521">
    <w:pPr>
      <w:pStyle w:val="Encabezado"/>
    </w:pPr>
    <w:r>
      <w:rPr>
        <w:noProof/>
        <w:lang w:val="es-CO" w:eastAsia="es-CO"/>
      </w:rPr>
      <w:drawing>
        <wp:anchor distT="0" distB="0" distL="114300" distR="114300" simplePos="0" relativeHeight="251692032" behindDoc="1" locked="0" layoutInCell="1" allowOverlap="1" wp14:anchorId="41A4500A" wp14:editId="148C66C0">
          <wp:simplePos x="0" y="0"/>
          <wp:positionH relativeFrom="column">
            <wp:posOffset>-730250</wp:posOffset>
          </wp:positionH>
          <wp:positionV relativeFrom="paragraph">
            <wp:posOffset>219075</wp:posOffset>
          </wp:positionV>
          <wp:extent cx="7757328" cy="11864198"/>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al-03.png"/>
                  <pic:cNvPicPr/>
                </pic:nvPicPr>
                <pic:blipFill>
                  <a:blip r:embed="rId1">
                    <a:extLst>
                      <a:ext uri="{28A0092B-C50C-407E-A947-70E740481C1C}">
                        <a14:useLocalDpi xmlns:a14="http://schemas.microsoft.com/office/drawing/2010/main" val="0"/>
                      </a:ext>
                    </a:extLst>
                  </a:blip>
                  <a:stretch>
                    <a:fillRect/>
                  </a:stretch>
                </pic:blipFill>
                <pic:spPr>
                  <a:xfrm>
                    <a:off x="0" y="0"/>
                    <a:ext cx="7757328" cy="11864198"/>
                  </a:xfrm>
                  <a:prstGeom prst="rect">
                    <a:avLst/>
                  </a:prstGeom>
                </pic:spPr>
              </pic:pic>
            </a:graphicData>
          </a:graphic>
          <wp14:sizeRelH relativeFrom="page">
            <wp14:pctWidth>0</wp14:pctWidth>
          </wp14:sizeRelH>
          <wp14:sizeRelV relativeFrom="page">
            <wp14:pctHeight>0</wp14:pctHeight>
          </wp14:sizeRelV>
        </wp:anchor>
      </w:drawing>
    </w:r>
  </w:p>
  <w:p w14:paraId="13CFEAFD" w14:textId="729312F2" w:rsidR="0059013B" w:rsidRDefault="005901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44C8"/>
    <w:multiLevelType w:val="hybridMultilevel"/>
    <w:tmpl w:val="523C4D42"/>
    <w:lvl w:ilvl="0" w:tplc="3278A194">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18509F6"/>
    <w:multiLevelType w:val="hybridMultilevel"/>
    <w:tmpl w:val="ABD6B2E2"/>
    <w:lvl w:ilvl="0" w:tplc="240A0005">
      <w:start w:val="1"/>
      <w:numFmt w:val="bullet"/>
      <w:lvlText w:val=""/>
      <w:lvlJc w:val="left"/>
      <w:pPr>
        <w:ind w:left="785" w:hanging="360"/>
      </w:pPr>
      <w:rPr>
        <w:rFonts w:ascii="Wingdings" w:hAnsi="Wingding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 w15:restartNumberingAfterBreak="0">
    <w:nsid w:val="0D762501"/>
    <w:multiLevelType w:val="multilevel"/>
    <w:tmpl w:val="40CA0BBE"/>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15:restartNumberingAfterBreak="0">
    <w:nsid w:val="164B6BA9"/>
    <w:multiLevelType w:val="multilevel"/>
    <w:tmpl w:val="D5A46D3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EC52B3"/>
    <w:multiLevelType w:val="multilevel"/>
    <w:tmpl w:val="40CA0BBE"/>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89" w:hanging="108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C115E34"/>
    <w:multiLevelType w:val="hybridMultilevel"/>
    <w:tmpl w:val="BAB40938"/>
    <w:lvl w:ilvl="0" w:tplc="3278A194">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1DE23064"/>
    <w:multiLevelType w:val="hybridMultilevel"/>
    <w:tmpl w:val="32CE6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570089"/>
    <w:multiLevelType w:val="multilevel"/>
    <w:tmpl w:val="96748CF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s-C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8F4D9F"/>
    <w:multiLevelType w:val="hybridMultilevel"/>
    <w:tmpl w:val="0E424C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F45F56"/>
    <w:multiLevelType w:val="hybridMultilevel"/>
    <w:tmpl w:val="F9E207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C3522FE"/>
    <w:multiLevelType w:val="hybridMultilevel"/>
    <w:tmpl w:val="3DBA8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8F36A6"/>
    <w:multiLevelType w:val="hybridMultilevel"/>
    <w:tmpl w:val="5A5E50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AF04B3"/>
    <w:multiLevelType w:val="hybridMultilevel"/>
    <w:tmpl w:val="6644BE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B457E5"/>
    <w:multiLevelType w:val="hybridMultilevel"/>
    <w:tmpl w:val="6750072A"/>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4" w15:restartNumberingAfterBreak="0">
    <w:nsid w:val="38763588"/>
    <w:multiLevelType w:val="hybridMultilevel"/>
    <w:tmpl w:val="D96A56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19706B"/>
    <w:multiLevelType w:val="multilevel"/>
    <w:tmpl w:val="F5D82732"/>
    <w:lvl w:ilvl="0">
      <w:start w:val="2"/>
      <w:numFmt w:val="decimal"/>
      <w:lvlText w:val="%1"/>
      <w:lvlJc w:val="left"/>
      <w:pPr>
        <w:ind w:left="400" w:hanging="40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6" w15:restartNumberingAfterBreak="0">
    <w:nsid w:val="3CAF394E"/>
    <w:multiLevelType w:val="hybridMultilevel"/>
    <w:tmpl w:val="D54EA5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93417B7"/>
    <w:multiLevelType w:val="multilevel"/>
    <w:tmpl w:val="0848213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A3A545B"/>
    <w:multiLevelType w:val="hybridMultilevel"/>
    <w:tmpl w:val="CF905D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C21420C"/>
    <w:multiLevelType w:val="hybridMultilevel"/>
    <w:tmpl w:val="813C5BA8"/>
    <w:lvl w:ilvl="0" w:tplc="D15E9668">
      <w:start w:val="1"/>
      <w:numFmt w:val="low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0" w15:restartNumberingAfterBreak="0">
    <w:nsid w:val="51C7733F"/>
    <w:multiLevelType w:val="hybridMultilevel"/>
    <w:tmpl w:val="FD08A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60032E"/>
    <w:multiLevelType w:val="multilevel"/>
    <w:tmpl w:val="5824CF1A"/>
    <w:lvl w:ilvl="0">
      <w:start w:val="3"/>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2" w15:restartNumberingAfterBreak="0">
    <w:nsid w:val="553C3047"/>
    <w:multiLevelType w:val="hybridMultilevel"/>
    <w:tmpl w:val="BCAEFB80"/>
    <w:lvl w:ilvl="0" w:tplc="E286D0B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E92595"/>
    <w:multiLevelType w:val="multilevel"/>
    <w:tmpl w:val="5824CF1A"/>
    <w:lvl w:ilvl="0">
      <w:start w:val="3"/>
      <w:numFmt w:val="decimal"/>
      <w:lvlText w:val="%1"/>
      <w:lvlJc w:val="left"/>
      <w:pPr>
        <w:ind w:left="360" w:hanging="36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56583CD9"/>
    <w:multiLevelType w:val="hybridMultilevel"/>
    <w:tmpl w:val="23C24E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140FA4"/>
    <w:multiLevelType w:val="multilevel"/>
    <w:tmpl w:val="E2544E14"/>
    <w:lvl w:ilvl="0">
      <w:start w:val="1"/>
      <w:numFmt w:val="decimal"/>
      <w:lvlText w:val="%1."/>
      <w:lvlJc w:val="left"/>
      <w:pPr>
        <w:ind w:left="3762" w:hanging="360"/>
      </w:pPr>
    </w:lvl>
    <w:lvl w:ilvl="1">
      <w:start w:val="1"/>
      <w:numFmt w:val="decimal"/>
      <w:lvlText w:val="%1.%2."/>
      <w:lvlJc w:val="left"/>
      <w:pPr>
        <w:ind w:left="857"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24" w:hanging="648"/>
      </w:pPr>
    </w:lvl>
    <w:lvl w:ilvl="4">
      <w:start w:val="1"/>
      <w:numFmt w:val="decimal"/>
      <w:lvlText w:val="%1.%2.%3.%4.%5."/>
      <w:lvlJc w:val="left"/>
      <w:pPr>
        <w:ind w:left="1075"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BF1E20"/>
    <w:multiLevelType w:val="hybridMultilevel"/>
    <w:tmpl w:val="813C5BA8"/>
    <w:lvl w:ilvl="0" w:tplc="D15E9668">
      <w:start w:val="1"/>
      <w:numFmt w:val="low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 w15:restartNumberingAfterBreak="0">
    <w:nsid w:val="670C061A"/>
    <w:multiLevelType w:val="hybridMultilevel"/>
    <w:tmpl w:val="8438023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0FA095A"/>
    <w:multiLevelType w:val="multilevel"/>
    <w:tmpl w:val="F5D82732"/>
    <w:lvl w:ilvl="0">
      <w:start w:val="2"/>
      <w:numFmt w:val="decimal"/>
      <w:lvlText w:val="%1"/>
      <w:lvlJc w:val="left"/>
      <w:pPr>
        <w:ind w:left="400" w:hanging="40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9" w15:restartNumberingAfterBreak="0">
    <w:nsid w:val="74147581"/>
    <w:multiLevelType w:val="hybridMultilevel"/>
    <w:tmpl w:val="38A6802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0" w15:restartNumberingAfterBreak="0">
    <w:nsid w:val="741816C2"/>
    <w:multiLevelType w:val="multilevel"/>
    <w:tmpl w:val="813C5BA8"/>
    <w:lvl w:ilvl="0">
      <w:start w:val="1"/>
      <w:numFmt w:val="lowerRoman"/>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15:restartNumberingAfterBreak="0">
    <w:nsid w:val="756274AF"/>
    <w:multiLevelType w:val="multilevel"/>
    <w:tmpl w:val="64C0B274"/>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58B318A"/>
    <w:multiLevelType w:val="hybridMultilevel"/>
    <w:tmpl w:val="056675EE"/>
    <w:lvl w:ilvl="0" w:tplc="455EBBC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A2F3DBB"/>
    <w:multiLevelType w:val="multilevel"/>
    <w:tmpl w:val="0848213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D656E4A"/>
    <w:multiLevelType w:val="multilevel"/>
    <w:tmpl w:val="D5A46D3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3C250B"/>
    <w:multiLevelType w:val="multilevel"/>
    <w:tmpl w:val="D5A46D3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5"/>
  </w:num>
  <w:num w:numId="2">
    <w:abstractNumId w:val="11"/>
  </w:num>
  <w:num w:numId="3">
    <w:abstractNumId w:val="14"/>
  </w:num>
  <w:num w:numId="4">
    <w:abstractNumId w:val="7"/>
  </w:num>
  <w:num w:numId="5">
    <w:abstractNumId w:val="15"/>
  </w:num>
  <w:num w:numId="6">
    <w:abstractNumId w:val="12"/>
  </w:num>
  <w:num w:numId="7">
    <w:abstractNumId w:val="8"/>
  </w:num>
  <w:num w:numId="8">
    <w:abstractNumId w:val="21"/>
  </w:num>
  <w:num w:numId="9">
    <w:abstractNumId w:val="23"/>
  </w:num>
  <w:num w:numId="10">
    <w:abstractNumId w:val="35"/>
  </w:num>
  <w:num w:numId="11">
    <w:abstractNumId w:val="17"/>
  </w:num>
  <w:num w:numId="12">
    <w:abstractNumId w:val="4"/>
  </w:num>
  <w:num w:numId="13">
    <w:abstractNumId w:val="33"/>
  </w:num>
  <w:num w:numId="14">
    <w:abstractNumId w:val="2"/>
  </w:num>
  <w:num w:numId="15">
    <w:abstractNumId w:val="31"/>
  </w:num>
  <w:num w:numId="16">
    <w:abstractNumId w:val="20"/>
  </w:num>
  <w:num w:numId="17">
    <w:abstractNumId w:val="6"/>
  </w:num>
  <w:num w:numId="18">
    <w:abstractNumId w:val="22"/>
  </w:num>
  <w:num w:numId="19">
    <w:abstractNumId w:val="28"/>
  </w:num>
  <w:num w:numId="20">
    <w:abstractNumId w:val="24"/>
  </w:num>
  <w:num w:numId="21">
    <w:abstractNumId w:val="32"/>
  </w:num>
  <w:num w:numId="22">
    <w:abstractNumId w:val="5"/>
  </w:num>
  <w:num w:numId="23">
    <w:abstractNumId w:val="0"/>
  </w:num>
  <w:num w:numId="24">
    <w:abstractNumId w:val="3"/>
  </w:num>
  <w:num w:numId="25">
    <w:abstractNumId w:val="34"/>
  </w:num>
  <w:num w:numId="26">
    <w:abstractNumId w:val="19"/>
  </w:num>
  <w:num w:numId="27">
    <w:abstractNumId w:val="30"/>
  </w:num>
  <w:num w:numId="28">
    <w:abstractNumId w:val="26"/>
  </w:num>
  <w:num w:numId="29">
    <w:abstractNumId w:val="1"/>
  </w:num>
  <w:num w:numId="30">
    <w:abstractNumId w:val="13"/>
  </w:num>
  <w:num w:numId="31">
    <w:abstractNumId w:val="29"/>
  </w:num>
  <w:num w:numId="32">
    <w:abstractNumId w:val="16"/>
  </w:num>
  <w:num w:numId="33">
    <w:abstractNumId w:val="27"/>
  </w:num>
  <w:num w:numId="34">
    <w:abstractNumId w:val="18"/>
  </w:num>
  <w:num w:numId="35">
    <w:abstractNumId w:val="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47F"/>
    <w:rsid w:val="00007C86"/>
    <w:rsid w:val="000100BA"/>
    <w:rsid w:val="00012813"/>
    <w:rsid w:val="00015F41"/>
    <w:rsid w:val="0001600A"/>
    <w:rsid w:val="00021217"/>
    <w:rsid w:val="00027606"/>
    <w:rsid w:val="0003069D"/>
    <w:rsid w:val="00035E13"/>
    <w:rsid w:val="00041EAC"/>
    <w:rsid w:val="00043BDE"/>
    <w:rsid w:val="00045F70"/>
    <w:rsid w:val="00050BFF"/>
    <w:rsid w:val="0005173E"/>
    <w:rsid w:val="0005174E"/>
    <w:rsid w:val="0005212B"/>
    <w:rsid w:val="0005251B"/>
    <w:rsid w:val="0005776E"/>
    <w:rsid w:val="00057A4D"/>
    <w:rsid w:val="00061F9A"/>
    <w:rsid w:val="00063B87"/>
    <w:rsid w:val="00064AF2"/>
    <w:rsid w:val="000651BD"/>
    <w:rsid w:val="00065678"/>
    <w:rsid w:val="00065960"/>
    <w:rsid w:val="0007131E"/>
    <w:rsid w:val="00071E10"/>
    <w:rsid w:val="000737DA"/>
    <w:rsid w:val="00073B9B"/>
    <w:rsid w:val="00081923"/>
    <w:rsid w:val="000862AE"/>
    <w:rsid w:val="00092738"/>
    <w:rsid w:val="00094116"/>
    <w:rsid w:val="000943ED"/>
    <w:rsid w:val="0009580B"/>
    <w:rsid w:val="00095AFB"/>
    <w:rsid w:val="00097A65"/>
    <w:rsid w:val="000A052B"/>
    <w:rsid w:val="000A42E1"/>
    <w:rsid w:val="000B2178"/>
    <w:rsid w:val="000B2757"/>
    <w:rsid w:val="000B7E9C"/>
    <w:rsid w:val="000C3000"/>
    <w:rsid w:val="000D4756"/>
    <w:rsid w:val="000E0EEA"/>
    <w:rsid w:val="000E210A"/>
    <w:rsid w:val="000E475B"/>
    <w:rsid w:val="000E5179"/>
    <w:rsid w:val="000E5D4F"/>
    <w:rsid w:val="000F085C"/>
    <w:rsid w:val="000F2942"/>
    <w:rsid w:val="00103779"/>
    <w:rsid w:val="0010447F"/>
    <w:rsid w:val="00104F31"/>
    <w:rsid w:val="00110755"/>
    <w:rsid w:val="00111645"/>
    <w:rsid w:val="001119FE"/>
    <w:rsid w:val="00113C7D"/>
    <w:rsid w:val="00113EE4"/>
    <w:rsid w:val="00114590"/>
    <w:rsid w:val="00115218"/>
    <w:rsid w:val="001152E4"/>
    <w:rsid w:val="00120E0D"/>
    <w:rsid w:val="00126A13"/>
    <w:rsid w:val="00126DB6"/>
    <w:rsid w:val="00126F34"/>
    <w:rsid w:val="00131CDD"/>
    <w:rsid w:val="0013447F"/>
    <w:rsid w:val="00135D0A"/>
    <w:rsid w:val="00137BA2"/>
    <w:rsid w:val="0014380E"/>
    <w:rsid w:val="00145131"/>
    <w:rsid w:val="00146DA9"/>
    <w:rsid w:val="00150DEA"/>
    <w:rsid w:val="0015301F"/>
    <w:rsid w:val="00153731"/>
    <w:rsid w:val="00156360"/>
    <w:rsid w:val="0016038F"/>
    <w:rsid w:val="00170D50"/>
    <w:rsid w:val="001726A6"/>
    <w:rsid w:val="0017270D"/>
    <w:rsid w:val="00172B73"/>
    <w:rsid w:val="00176095"/>
    <w:rsid w:val="0017689B"/>
    <w:rsid w:val="00183195"/>
    <w:rsid w:val="00184557"/>
    <w:rsid w:val="001863D9"/>
    <w:rsid w:val="00191EC3"/>
    <w:rsid w:val="00194D5B"/>
    <w:rsid w:val="00195CEC"/>
    <w:rsid w:val="00195D6C"/>
    <w:rsid w:val="001A5250"/>
    <w:rsid w:val="001A52A0"/>
    <w:rsid w:val="001B09A0"/>
    <w:rsid w:val="001B1CEB"/>
    <w:rsid w:val="001B2721"/>
    <w:rsid w:val="001B3184"/>
    <w:rsid w:val="001B4283"/>
    <w:rsid w:val="001C0D43"/>
    <w:rsid w:val="001C0E96"/>
    <w:rsid w:val="001C228C"/>
    <w:rsid w:val="001C3C12"/>
    <w:rsid w:val="001D050A"/>
    <w:rsid w:val="001D0FCA"/>
    <w:rsid w:val="001D1C99"/>
    <w:rsid w:val="001D347F"/>
    <w:rsid w:val="001D3DCB"/>
    <w:rsid w:val="001E01CC"/>
    <w:rsid w:val="001E1B27"/>
    <w:rsid w:val="001E1F29"/>
    <w:rsid w:val="001F142C"/>
    <w:rsid w:val="001F1773"/>
    <w:rsid w:val="001F22B4"/>
    <w:rsid w:val="001F4180"/>
    <w:rsid w:val="001F4CE7"/>
    <w:rsid w:val="00202C89"/>
    <w:rsid w:val="00203D2B"/>
    <w:rsid w:val="00205437"/>
    <w:rsid w:val="00205785"/>
    <w:rsid w:val="00206D20"/>
    <w:rsid w:val="0020770A"/>
    <w:rsid w:val="002127A5"/>
    <w:rsid w:val="00213A88"/>
    <w:rsid w:val="00216901"/>
    <w:rsid w:val="0021794E"/>
    <w:rsid w:val="00224DAA"/>
    <w:rsid w:val="00225B5E"/>
    <w:rsid w:val="00227554"/>
    <w:rsid w:val="00230226"/>
    <w:rsid w:val="00231B2A"/>
    <w:rsid w:val="00233249"/>
    <w:rsid w:val="00234D14"/>
    <w:rsid w:val="0024186D"/>
    <w:rsid w:val="002421E9"/>
    <w:rsid w:val="00243243"/>
    <w:rsid w:val="002449A6"/>
    <w:rsid w:val="00252036"/>
    <w:rsid w:val="00253265"/>
    <w:rsid w:val="0025576A"/>
    <w:rsid w:val="00256600"/>
    <w:rsid w:val="00261CE9"/>
    <w:rsid w:val="0026250D"/>
    <w:rsid w:val="00265BD0"/>
    <w:rsid w:val="00266804"/>
    <w:rsid w:val="002704EB"/>
    <w:rsid w:val="002705F3"/>
    <w:rsid w:val="0027412D"/>
    <w:rsid w:val="002744F4"/>
    <w:rsid w:val="00283787"/>
    <w:rsid w:val="0028452C"/>
    <w:rsid w:val="00284E49"/>
    <w:rsid w:val="00284F4D"/>
    <w:rsid w:val="002905D8"/>
    <w:rsid w:val="0029097D"/>
    <w:rsid w:val="00291515"/>
    <w:rsid w:val="00292410"/>
    <w:rsid w:val="00296C78"/>
    <w:rsid w:val="002973D4"/>
    <w:rsid w:val="002979E4"/>
    <w:rsid w:val="00297F79"/>
    <w:rsid w:val="002A1377"/>
    <w:rsid w:val="002A2F10"/>
    <w:rsid w:val="002A5E7B"/>
    <w:rsid w:val="002C1045"/>
    <w:rsid w:val="002C2B33"/>
    <w:rsid w:val="002C33AD"/>
    <w:rsid w:val="002C497A"/>
    <w:rsid w:val="002C6FED"/>
    <w:rsid w:val="002C763A"/>
    <w:rsid w:val="002D0745"/>
    <w:rsid w:val="002D3EF9"/>
    <w:rsid w:val="002D472D"/>
    <w:rsid w:val="002D53D3"/>
    <w:rsid w:val="002E0260"/>
    <w:rsid w:val="002E23C2"/>
    <w:rsid w:val="002E5B94"/>
    <w:rsid w:val="002E71AF"/>
    <w:rsid w:val="002F3873"/>
    <w:rsid w:val="002F75C9"/>
    <w:rsid w:val="00300458"/>
    <w:rsid w:val="00301614"/>
    <w:rsid w:val="00303661"/>
    <w:rsid w:val="00304FF8"/>
    <w:rsid w:val="0030560E"/>
    <w:rsid w:val="003072A0"/>
    <w:rsid w:val="00316DB9"/>
    <w:rsid w:val="00317FDB"/>
    <w:rsid w:val="00323047"/>
    <w:rsid w:val="00323105"/>
    <w:rsid w:val="003317BB"/>
    <w:rsid w:val="00333084"/>
    <w:rsid w:val="00334249"/>
    <w:rsid w:val="003354D5"/>
    <w:rsid w:val="00335F2B"/>
    <w:rsid w:val="0034030D"/>
    <w:rsid w:val="003407C7"/>
    <w:rsid w:val="0034222E"/>
    <w:rsid w:val="00346050"/>
    <w:rsid w:val="00346F69"/>
    <w:rsid w:val="00352E9D"/>
    <w:rsid w:val="00357226"/>
    <w:rsid w:val="003627DA"/>
    <w:rsid w:val="00363D12"/>
    <w:rsid w:val="00367CE7"/>
    <w:rsid w:val="003701CE"/>
    <w:rsid w:val="00374026"/>
    <w:rsid w:val="003751AD"/>
    <w:rsid w:val="003753C5"/>
    <w:rsid w:val="00376A25"/>
    <w:rsid w:val="00376AC8"/>
    <w:rsid w:val="0038074A"/>
    <w:rsid w:val="003851F9"/>
    <w:rsid w:val="003855C1"/>
    <w:rsid w:val="00386B45"/>
    <w:rsid w:val="00390300"/>
    <w:rsid w:val="00392CB2"/>
    <w:rsid w:val="003959DE"/>
    <w:rsid w:val="00395A86"/>
    <w:rsid w:val="00397DA4"/>
    <w:rsid w:val="003A24B7"/>
    <w:rsid w:val="003A2BB0"/>
    <w:rsid w:val="003A7026"/>
    <w:rsid w:val="003B073A"/>
    <w:rsid w:val="003B19FD"/>
    <w:rsid w:val="003B2CE2"/>
    <w:rsid w:val="003B5234"/>
    <w:rsid w:val="003B60A1"/>
    <w:rsid w:val="003C03DE"/>
    <w:rsid w:val="003C0504"/>
    <w:rsid w:val="003C34A5"/>
    <w:rsid w:val="003C3824"/>
    <w:rsid w:val="003C5A6F"/>
    <w:rsid w:val="003C6127"/>
    <w:rsid w:val="003D0774"/>
    <w:rsid w:val="003D3B38"/>
    <w:rsid w:val="003D3CCF"/>
    <w:rsid w:val="003D45D3"/>
    <w:rsid w:val="003E038D"/>
    <w:rsid w:val="003E1BC0"/>
    <w:rsid w:val="003E70F3"/>
    <w:rsid w:val="003E7C6F"/>
    <w:rsid w:val="003F09A4"/>
    <w:rsid w:val="003F24C5"/>
    <w:rsid w:val="003F3E25"/>
    <w:rsid w:val="003F4F12"/>
    <w:rsid w:val="003F6503"/>
    <w:rsid w:val="00400238"/>
    <w:rsid w:val="00400F7F"/>
    <w:rsid w:val="00415146"/>
    <w:rsid w:val="00421C51"/>
    <w:rsid w:val="00421F40"/>
    <w:rsid w:val="00423258"/>
    <w:rsid w:val="00425FCE"/>
    <w:rsid w:val="00432960"/>
    <w:rsid w:val="0043603B"/>
    <w:rsid w:val="00436283"/>
    <w:rsid w:val="00436E9A"/>
    <w:rsid w:val="00436EF3"/>
    <w:rsid w:val="004428E3"/>
    <w:rsid w:val="0045293A"/>
    <w:rsid w:val="00453085"/>
    <w:rsid w:val="0045423A"/>
    <w:rsid w:val="0045469B"/>
    <w:rsid w:val="00466CD5"/>
    <w:rsid w:val="00473AC1"/>
    <w:rsid w:val="0047401F"/>
    <w:rsid w:val="00474921"/>
    <w:rsid w:val="00476891"/>
    <w:rsid w:val="00480C16"/>
    <w:rsid w:val="00486032"/>
    <w:rsid w:val="004860F8"/>
    <w:rsid w:val="00486379"/>
    <w:rsid w:val="0048725B"/>
    <w:rsid w:val="00487700"/>
    <w:rsid w:val="00491C7F"/>
    <w:rsid w:val="00492281"/>
    <w:rsid w:val="00493E77"/>
    <w:rsid w:val="0049643A"/>
    <w:rsid w:val="004A474D"/>
    <w:rsid w:val="004A5129"/>
    <w:rsid w:val="004B35FE"/>
    <w:rsid w:val="004B6ADB"/>
    <w:rsid w:val="004C3DD8"/>
    <w:rsid w:val="004C4B73"/>
    <w:rsid w:val="004D0608"/>
    <w:rsid w:val="004D6D0B"/>
    <w:rsid w:val="004D73FC"/>
    <w:rsid w:val="004E1634"/>
    <w:rsid w:val="004E35F7"/>
    <w:rsid w:val="004E65FE"/>
    <w:rsid w:val="004E6F05"/>
    <w:rsid w:val="004E7946"/>
    <w:rsid w:val="004F107D"/>
    <w:rsid w:val="004F5177"/>
    <w:rsid w:val="004F528D"/>
    <w:rsid w:val="004F58C2"/>
    <w:rsid w:val="00501CA2"/>
    <w:rsid w:val="00501F33"/>
    <w:rsid w:val="005026CB"/>
    <w:rsid w:val="00507378"/>
    <w:rsid w:val="00510F4A"/>
    <w:rsid w:val="00512E1C"/>
    <w:rsid w:val="005154DC"/>
    <w:rsid w:val="00521780"/>
    <w:rsid w:val="00521D9F"/>
    <w:rsid w:val="005269C8"/>
    <w:rsid w:val="00526D0C"/>
    <w:rsid w:val="0053049C"/>
    <w:rsid w:val="00530735"/>
    <w:rsid w:val="005330E3"/>
    <w:rsid w:val="00533FCF"/>
    <w:rsid w:val="0054650D"/>
    <w:rsid w:val="005473BD"/>
    <w:rsid w:val="00552CAE"/>
    <w:rsid w:val="00556753"/>
    <w:rsid w:val="0055721B"/>
    <w:rsid w:val="00560877"/>
    <w:rsid w:val="005626E1"/>
    <w:rsid w:val="00565A1F"/>
    <w:rsid w:val="00566630"/>
    <w:rsid w:val="00570E13"/>
    <w:rsid w:val="005731BE"/>
    <w:rsid w:val="00574D65"/>
    <w:rsid w:val="00575A45"/>
    <w:rsid w:val="0057754D"/>
    <w:rsid w:val="00577ADC"/>
    <w:rsid w:val="00581F85"/>
    <w:rsid w:val="00583D64"/>
    <w:rsid w:val="00583EA8"/>
    <w:rsid w:val="00584F06"/>
    <w:rsid w:val="0058586E"/>
    <w:rsid w:val="0058790B"/>
    <w:rsid w:val="0059013B"/>
    <w:rsid w:val="005911B1"/>
    <w:rsid w:val="005A211F"/>
    <w:rsid w:val="005B12A8"/>
    <w:rsid w:val="005B1324"/>
    <w:rsid w:val="005B14B4"/>
    <w:rsid w:val="005B2238"/>
    <w:rsid w:val="005B6621"/>
    <w:rsid w:val="005B75F7"/>
    <w:rsid w:val="005D0059"/>
    <w:rsid w:val="005D187C"/>
    <w:rsid w:val="005D27F1"/>
    <w:rsid w:val="005D365F"/>
    <w:rsid w:val="005D457E"/>
    <w:rsid w:val="005E0521"/>
    <w:rsid w:val="005E06B2"/>
    <w:rsid w:val="005E15D1"/>
    <w:rsid w:val="005E2ED8"/>
    <w:rsid w:val="005E5F62"/>
    <w:rsid w:val="005F04E4"/>
    <w:rsid w:val="005F0DFC"/>
    <w:rsid w:val="005F765C"/>
    <w:rsid w:val="005F7669"/>
    <w:rsid w:val="005F7AD7"/>
    <w:rsid w:val="006010C7"/>
    <w:rsid w:val="0060282E"/>
    <w:rsid w:val="00603C55"/>
    <w:rsid w:val="0060757E"/>
    <w:rsid w:val="00613010"/>
    <w:rsid w:val="00622359"/>
    <w:rsid w:val="00624C28"/>
    <w:rsid w:val="0063006E"/>
    <w:rsid w:val="00631C81"/>
    <w:rsid w:val="006331A6"/>
    <w:rsid w:val="0063352D"/>
    <w:rsid w:val="00637520"/>
    <w:rsid w:val="0063770A"/>
    <w:rsid w:val="00637AFE"/>
    <w:rsid w:val="00640BD3"/>
    <w:rsid w:val="00642D21"/>
    <w:rsid w:val="00645B42"/>
    <w:rsid w:val="006504F6"/>
    <w:rsid w:val="00653B91"/>
    <w:rsid w:val="00661EA5"/>
    <w:rsid w:val="00663041"/>
    <w:rsid w:val="0066544A"/>
    <w:rsid w:val="00665FB9"/>
    <w:rsid w:val="00667AB2"/>
    <w:rsid w:val="00672AF2"/>
    <w:rsid w:val="00674201"/>
    <w:rsid w:val="006766EF"/>
    <w:rsid w:val="00677184"/>
    <w:rsid w:val="00680E9B"/>
    <w:rsid w:val="0068227F"/>
    <w:rsid w:val="00686C7A"/>
    <w:rsid w:val="00693BE3"/>
    <w:rsid w:val="006952A5"/>
    <w:rsid w:val="0069679B"/>
    <w:rsid w:val="006967C4"/>
    <w:rsid w:val="0069717C"/>
    <w:rsid w:val="00697C3D"/>
    <w:rsid w:val="006A0DF2"/>
    <w:rsid w:val="006A1B70"/>
    <w:rsid w:val="006A73D2"/>
    <w:rsid w:val="006A7B2A"/>
    <w:rsid w:val="006B3FD0"/>
    <w:rsid w:val="006B5154"/>
    <w:rsid w:val="006B6245"/>
    <w:rsid w:val="006B762A"/>
    <w:rsid w:val="006C0B64"/>
    <w:rsid w:val="006C1126"/>
    <w:rsid w:val="006C3960"/>
    <w:rsid w:val="006C4271"/>
    <w:rsid w:val="006C745E"/>
    <w:rsid w:val="006D1015"/>
    <w:rsid w:val="006D2055"/>
    <w:rsid w:val="006D5D69"/>
    <w:rsid w:val="00701E7A"/>
    <w:rsid w:val="00704CC2"/>
    <w:rsid w:val="0070706F"/>
    <w:rsid w:val="007105B9"/>
    <w:rsid w:val="00710688"/>
    <w:rsid w:val="0071145D"/>
    <w:rsid w:val="00711EBE"/>
    <w:rsid w:val="00714CA6"/>
    <w:rsid w:val="00715597"/>
    <w:rsid w:val="0071606D"/>
    <w:rsid w:val="007211F7"/>
    <w:rsid w:val="00721C7A"/>
    <w:rsid w:val="00726AED"/>
    <w:rsid w:val="00726D5E"/>
    <w:rsid w:val="00730C5A"/>
    <w:rsid w:val="00731914"/>
    <w:rsid w:val="00733726"/>
    <w:rsid w:val="007364D7"/>
    <w:rsid w:val="007374EC"/>
    <w:rsid w:val="007378BA"/>
    <w:rsid w:val="00743BAA"/>
    <w:rsid w:val="00744BE6"/>
    <w:rsid w:val="00745093"/>
    <w:rsid w:val="007474DC"/>
    <w:rsid w:val="00752EAE"/>
    <w:rsid w:val="00753D26"/>
    <w:rsid w:val="007604D9"/>
    <w:rsid w:val="00764DDB"/>
    <w:rsid w:val="00773EAF"/>
    <w:rsid w:val="0077504B"/>
    <w:rsid w:val="00777E0A"/>
    <w:rsid w:val="00784A34"/>
    <w:rsid w:val="00784EFD"/>
    <w:rsid w:val="007946B6"/>
    <w:rsid w:val="007960F8"/>
    <w:rsid w:val="007964CC"/>
    <w:rsid w:val="00796E00"/>
    <w:rsid w:val="007A429E"/>
    <w:rsid w:val="007B2B28"/>
    <w:rsid w:val="007B491B"/>
    <w:rsid w:val="007B5326"/>
    <w:rsid w:val="007B7832"/>
    <w:rsid w:val="007D1476"/>
    <w:rsid w:val="007D1C7B"/>
    <w:rsid w:val="007D660C"/>
    <w:rsid w:val="007E1859"/>
    <w:rsid w:val="007E4D5D"/>
    <w:rsid w:val="007F56EB"/>
    <w:rsid w:val="008051CB"/>
    <w:rsid w:val="008071AF"/>
    <w:rsid w:val="008079E8"/>
    <w:rsid w:val="00815BD0"/>
    <w:rsid w:val="00816B01"/>
    <w:rsid w:val="008222B8"/>
    <w:rsid w:val="0082280A"/>
    <w:rsid w:val="00825FD3"/>
    <w:rsid w:val="0082658D"/>
    <w:rsid w:val="0083246E"/>
    <w:rsid w:val="00833476"/>
    <w:rsid w:val="0083561C"/>
    <w:rsid w:val="00836B17"/>
    <w:rsid w:val="00836FC6"/>
    <w:rsid w:val="00837EBE"/>
    <w:rsid w:val="00843BE9"/>
    <w:rsid w:val="00845E44"/>
    <w:rsid w:val="00852E06"/>
    <w:rsid w:val="00853357"/>
    <w:rsid w:val="008567D6"/>
    <w:rsid w:val="0085764D"/>
    <w:rsid w:val="008637A8"/>
    <w:rsid w:val="00863D18"/>
    <w:rsid w:val="00865FDE"/>
    <w:rsid w:val="00867108"/>
    <w:rsid w:val="00874375"/>
    <w:rsid w:val="008745E7"/>
    <w:rsid w:val="00875E63"/>
    <w:rsid w:val="0088355E"/>
    <w:rsid w:val="008847AD"/>
    <w:rsid w:val="00885F9B"/>
    <w:rsid w:val="00886F5E"/>
    <w:rsid w:val="008A07AD"/>
    <w:rsid w:val="008A41CA"/>
    <w:rsid w:val="008A5665"/>
    <w:rsid w:val="008B1EC6"/>
    <w:rsid w:val="008B45B3"/>
    <w:rsid w:val="008C0549"/>
    <w:rsid w:val="008C08DB"/>
    <w:rsid w:val="008D2DC8"/>
    <w:rsid w:val="008D3EE4"/>
    <w:rsid w:val="008D594C"/>
    <w:rsid w:val="008D7714"/>
    <w:rsid w:val="008E06D6"/>
    <w:rsid w:val="008E33CC"/>
    <w:rsid w:val="008E3A71"/>
    <w:rsid w:val="008F1ABE"/>
    <w:rsid w:val="008F2677"/>
    <w:rsid w:val="008F3A41"/>
    <w:rsid w:val="008F5213"/>
    <w:rsid w:val="008F5C40"/>
    <w:rsid w:val="009020A6"/>
    <w:rsid w:val="00903AEE"/>
    <w:rsid w:val="00906950"/>
    <w:rsid w:val="00906D72"/>
    <w:rsid w:val="0091171D"/>
    <w:rsid w:val="009145B1"/>
    <w:rsid w:val="009174A8"/>
    <w:rsid w:val="009206DB"/>
    <w:rsid w:val="00921437"/>
    <w:rsid w:val="00921869"/>
    <w:rsid w:val="009220B4"/>
    <w:rsid w:val="00923152"/>
    <w:rsid w:val="00931A16"/>
    <w:rsid w:val="00940B54"/>
    <w:rsid w:val="00942B99"/>
    <w:rsid w:val="00943BA4"/>
    <w:rsid w:val="00944242"/>
    <w:rsid w:val="00944C83"/>
    <w:rsid w:val="00945678"/>
    <w:rsid w:val="009459B4"/>
    <w:rsid w:val="00951176"/>
    <w:rsid w:val="00957324"/>
    <w:rsid w:val="0096221A"/>
    <w:rsid w:val="009667B3"/>
    <w:rsid w:val="00966945"/>
    <w:rsid w:val="0096747B"/>
    <w:rsid w:val="009742B9"/>
    <w:rsid w:val="00976116"/>
    <w:rsid w:val="00976619"/>
    <w:rsid w:val="009914DB"/>
    <w:rsid w:val="00993CD7"/>
    <w:rsid w:val="00997063"/>
    <w:rsid w:val="009A10A2"/>
    <w:rsid w:val="009A3850"/>
    <w:rsid w:val="009A3D1E"/>
    <w:rsid w:val="009A70F1"/>
    <w:rsid w:val="009A75ED"/>
    <w:rsid w:val="009B0CEC"/>
    <w:rsid w:val="009B160A"/>
    <w:rsid w:val="009B22CA"/>
    <w:rsid w:val="009B5F2A"/>
    <w:rsid w:val="009B7382"/>
    <w:rsid w:val="009C1311"/>
    <w:rsid w:val="009C4F84"/>
    <w:rsid w:val="009D2641"/>
    <w:rsid w:val="009D309E"/>
    <w:rsid w:val="009D34F0"/>
    <w:rsid w:val="009D36DB"/>
    <w:rsid w:val="009D58A3"/>
    <w:rsid w:val="009E12C4"/>
    <w:rsid w:val="009E4FA0"/>
    <w:rsid w:val="009E5799"/>
    <w:rsid w:val="009F43DA"/>
    <w:rsid w:val="00A02D0C"/>
    <w:rsid w:val="00A04511"/>
    <w:rsid w:val="00A05127"/>
    <w:rsid w:val="00A070E2"/>
    <w:rsid w:val="00A114DB"/>
    <w:rsid w:val="00A12F0A"/>
    <w:rsid w:val="00A139C2"/>
    <w:rsid w:val="00A25397"/>
    <w:rsid w:val="00A255AB"/>
    <w:rsid w:val="00A27E77"/>
    <w:rsid w:val="00A341D9"/>
    <w:rsid w:val="00A344B8"/>
    <w:rsid w:val="00A35EB8"/>
    <w:rsid w:val="00A43FA2"/>
    <w:rsid w:val="00A465B7"/>
    <w:rsid w:val="00A61EA2"/>
    <w:rsid w:val="00A63119"/>
    <w:rsid w:val="00A6735D"/>
    <w:rsid w:val="00A7162C"/>
    <w:rsid w:val="00A75C02"/>
    <w:rsid w:val="00A808FD"/>
    <w:rsid w:val="00A91BD0"/>
    <w:rsid w:val="00A92A5A"/>
    <w:rsid w:val="00A932DE"/>
    <w:rsid w:val="00A94491"/>
    <w:rsid w:val="00AA09DB"/>
    <w:rsid w:val="00AA129D"/>
    <w:rsid w:val="00AA31D9"/>
    <w:rsid w:val="00AA5A8C"/>
    <w:rsid w:val="00AB2E5C"/>
    <w:rsid w:val="00AB5FD1"/>
    <w:rsid w:val="00AB7F74"/>
    <w:rsid w:val="00AC5332"/>
    <w:rsid w:val="00AC55AF"/>
    <w:rsid w:val="00AC580A"/>
    <w:rsid w:val="00AC6769"/>
    <w:rsid w:val="00AD3722"/>
    <w:rsid w:val="00AD553D"/>
    <w:rsid w:val="00AD6FCC"/>
    <w:rsid w:val="00AE035A"/>
    <w:rsid w:val="00AE158F"/>
    <w:rsid w:val="00AF15D5"/>
    <w:rsid w:val="00AF189E"/>
    <w:rsid w:val="00AF367B"/>
    <w:rsid w:val="00AF45A2"/>
    <w:rsid w:val="00AF7AC6"/>
    <w:rsid w:val="00B06935"/>
    <w:rsid w:val="00B06D0B"/>
    <w:rsid w:val="00B11AE6"/>
    <w:rsid w:val="00B132E6"/>
    <w:rsid w:val="00B13D11"/>
    <w:rsid w:val="00B1540E"/>
    <w:rsid w:val="00B15520"/>
    <w:rsid w:val="00B15E4C"/>
    <w:rsid w:val="00B16EF2"/>
    <w:rsid w:val="00B17E11"/>
    <w:rsid w:val="00B2143E"/>
    <w:rsid w:val="00B21999"/>
    <w:rsid w:val="00B21EC2"/>
    <w:rsid w:val="00B22FC8"/>
    <w:rsid w:val="00B25250"/>
    <w:rsid w:val="00B27C05"/>
    <w:rsid w:val="00B34AE2"/>
    <w:rsid w:val="00B44156"/>
    <w:rsid w:val="00B50809"/>
    <w:rsid w:val="00B50A86"/>
    <w:rsid w:val="00B51C2A"/>
    <w:rsid w:val="00B52127"/>
    <w:rsid w:val="00B61B99"/>
    <w:rsid w:val="00B637B0"/>
    <w:rsid w:val="00B66160"/>
    <w:rsid w:val="00B70C4B"/>
    <w:rsid w:val="00B80B0A"/>
    <w:rsid w:val="00B80D8A"/>
    <w:rsid w:val="00B81A2F"/>
    <w:rsid w:val="00B82DEB"/>
    <w:rsid w:val="00B82FEA"/>
    <w:rsid w:val="00B867E2"/>
    <w:rsid w:val="00B9097B"/>
    <w:rsid w:val="00BA0D14"/>
    <w:rsid w:val="00BA4EEF"/>
    <w:rsid w:val="00BA5227"/>
    <w:rsid w:val="00BA553B"/>
    <w:rsid w:val="00BA6A72"/>
    <w:rsid w:val="00BA72F6"/>
    <w:rsid w:val="00BA7BA3"/>
    <w:rsid w:val="00BB03E3"/>
    <w:rsid w:val="00BB056A"/>
    <w:rsid w:val="00BB0C56"/>
    <w:rsid w:val="00BB119A"/>
    <w:rsid w:val="00BB2A53"/>
    <w:rsid w:val="00BB32BF"/>
    <w:rsid w:val="00BC0068"/>
    <w:rsid w:val="00BC2CA5"/>
    <w:rsid w:val="00BC7256"/>
    <w:rsid w:val="00BC749A"/>
    <w:rsid w:val="00BD134A"/>
    <w:rsid w:val="00BD2212"/>
    <w:rsid w:val="00BD23A8"/>
    <w:rsid w:val="00BD377D"/>
    <w:rsid w:val="00BD67AE"/>
    <w:rsid w:val="00BD722E"/>
    <w:rsid w:val="00BE07C0"/>
    <w:rsid w:val="00BE1915"/>
    <w:rsid w:val="00BE5CB5"/>
    <w:rsid w:val="00BE6311"/>
    <w:rsid w:val="00BF1C6F"/>
    <w:rsid w:val="00BF1F55"/>
    <w:rsid w:val="00BF3AE7"/>
    <w:rsid w:val="00BF52C0"/>
    <w:rsid w:val="00C014AD"/>
    <w:rsid w:val="00C02B2C"/>
    <w:rsid w:val="00C06B87"/>
    <w:rsid w:val="00C118AF"/>
    <w:rsid w:val="00C1208F"/>
    <w:rsid w:val="00C124B3"/>
    <w:rsid w:val="00C13338"/>
    <w:rsid w:val="00C15291"/>
    <w:rsid w:val="00C1558B"/>
    <w:rsid w:val="00C15C3C"/>
    <w:rsid w:val="00C30F5A"/>
    <w:rsid w:val="00C3289E"/>
    <w:rsid w:val="00C33341"/>
    <w:rsid w:val="00C36073"/>
    <w:rsid w:val="00C4407C"/>
    <w:rsid w:val="00C44F06"/>
    <w:rsid w:val="00C51253"/>
    <w:rsid w:val="00C52C17"/>
    <w:rsid w:val="00C52F8E"/>
    <w:rsid w:val="00C60B55"/>
    <w:rsid w:val="00C65FCB"/>
    <w:rsid w:val="00C67CCD"/>
    <w:rsid w:val="00C704D9"/>
    <w:rsid w:val="00C72B1D"/>
    <w:rsid w:val="00C7540A"/>
    <w:rsid w:val="00C823B4"/>
    <w:rsid w:val="00C82629"/>
    <w:rsid w:val="00C8785D"/>
    <w:rsid w:val="00C90C9D"/>
    <w:rsid w:val="00C93191"/>
    <w:rsid w:val="00C93CB5"/>
    <w:rsid w:val="00C97FD2"/>
    <w:rsid w:val="00CA2440"/>
    <w:rsid w:val="00CA3CCD"/>
    <w:rsid w:val="00CA44A9"/>
    <w:rsid w:val="00CA54C0"/>
    <w:rsid w:val="00CA6D5C"/>
    <w:rsid w:val="00CA77D2"/>
    <w:rsid w:val="00CA7CE1"/>
    <w:rsid w:val="00CB02AC"/>
    <w:rsid w:val="00CB1C90"/>
    <w:rsid w:val="00CB2334"/>
    <w:rsid w:val="00CB30D3"/>
    <w:rsid w:val="00CB5628"/>
    <w:rsid w:val="00CB66CD"/>
    <w:rsid w:val="00CB745F"/>
    <w:rsid w:val="00CB78E8"/>
    <w:rsid w:val="00CC2B4C"/>
    <w:rsid w:val="00CC409A"/>
    <w:rsid w:val="00CC6314"/>
    <w:rsid w:val="00CC63BC"/>
    <w:rsid w:val="00CD1BA3"/>
    <w:rsid w:val="00CD2F3F"/>
    <w:rsid w:val="00CD6188"/>
    <w:rsid w:val="00CD7E5B"/>
    <w:rsid w:val="00CE01E2"/>
    <w:rsid w:val="00CE4D6E"/>
    <w:rsid w:val="00CE4DAF"/>
    <w:rsid w:val="00CF5976"/>
    <w:rsid w:val="00CF68AE"/>
    <w:rsid w:val="00D0063B"/>
    <w:rsid w:val="00D0576F"/>
    <w:rsid w:val="00D0791C"/>
    <w:rsid w:val="00D12810"/>
    <w:rsid w:val="00D17556"/>
    <w:rsid w:val="00D200C1"/>
    <w:rsid w:val="00D23B8F"/>
    <w:rsid w:val="00D241C0"/>
    <w:rsid w:val="00D244A5"/>
    <w:rsid w:val="00D2661D"/>
    <w:rsid w:val="00D27173"/>
    <w:rsid w:val="00D30C3C"/>
    <w:rsid w:val="00D31B40"/>
    <w:rsid w:val="00D328DC"/>
    <w:rsid w:val="00D32E09"/>
    <w:rsid w:val="00D418FE"/>
    <w:rsid w:val="00D42408"/>
    <w:rsid w:val="00D43260"/>
    <w:rsid w:val="00D50054"/>
    <w:rsid w:val="00D5070D"/>
    <w:rsid w:val="00D571E4"/>
    <w:rsid w:val="00D61CAC"/>
    <w:rsid w:val="00D6294D"/>
    <w:rsid w:val="00D62E41"/>
    <w:rsid w:val="00D63CF4"/>
    <w:rsid w:val="00D64B34"/>
    <w:rsid w:val="00D7420B"/>
    <w:rsid w:val="00D75762"/>
    <w:rsid w:val="00D77853"/>
    <w:rsid w:val="00D7790F"/>
    <w:rsid w:val="00D77A19"/>
    <w:rsid w:val="00D83860"/>
    <w:rsid w:val="00D85145"/>
    <w:rsid w:val="00D85A17"/>
    <w:rsid w:val="00D94E69"/>
    <w:rsid w:val="00DA1FC4"/>
    <w:rsid w:val="00DA5276"/>
    <w:rsid w:val="00DB1221"/>
    <w:rsid w:val="00DB2246"/>
    <w:rsid w:val="00DB24E1"/>
    <w:rsid w:val="00DB3155"/>
    <w:rsid w:val="00DB3190"/>
    <w:rsid w:val="00DB3A1B"/>
    <w:rsid w:val="00DB7D44"/>
    <w:rsid w:val="00DC1D6C"/>
    <w:rsid w:val="00DC3C8B"/>
    <w:rsid w:val="00DC6283"/>
    <w:rsid w:val="00DC69DC"/>
    <w:rsid w:val="00DC751F"/>
    <w:rsid w:val="00DD1478"/>
    <w:rsid w:val="00DD6F85"/>
    <w:rsid w:val="00DD7D20"/>
    <w:rsid w:val="00DE1836"/>
    <w:rsid w:val="00DE4D8E"/>
    <w:rsid w:val="00DE5F54"/>
    <w:rsid w:val="00DE672B"/>
    <w:rsid w:val="00DE7F16"/>
    <w:rsid w:val="00DF27A0"/>
    <w:rsid w:val="00DF3247"/>
    <w:rsid w:val="00DF4418"/>
    <w:rsid w:val="00DF4479"/>
    <w:rsid w:val="00DF5E14"/>
    <w:rsid w:val="00E00DE1"/>
    <w:rsid w:val="00E01D7C"/>
    <w:rsid w:val="00E0327C"/>
    <w:rsid w:val="00E06457"/>
    <w:rsid w:val="00E06A89"/>
    <w:rsid w:val="00E10F2E"/>
    <w:rsid w:val="00E12294"/>
    <w:rsid w:val="00E13FD3"/>
    <w:rsid w:val="00E15634"/>
    <w:rsid w:val="00E21267"/>
    <w:rsid w:val="00E220E2"/>
    <w:rsid w:val="00E22200"/>
    <w:rsid w:val="00E237B7"/>
    <w:rsid w:val="00E26579"/>
    <w:rsid w:val="00E26622"/>
    <w:rsid w:val="00E26A8F"/>
    <w:rsid w:val="00E312F5"/>
    <w:rsid w:val="00E353F0"/>
    <w:rsid w:val="00E36BBA"/>
    <w:rsid w:val="00E3757D"/>
    <w:rsid w:val="00E409BC"/>
    <w:rsid w:val="00E42992"/>
    <w:rsid w:val="00E435B8"/>
    <w:rsid w:val="00E50918"/>
    <w:rsid w:val="00E62138"/>
    <w:rsid w:val="00E64401"/>
    <w:rsid w:val="00E82617"/>
    <w:rsid w:val="00E84B27"/>
    <w:rsid w:val="00E84C85"/>
    <w:rsid w:val="00E86EB4"/>
    <w:rsid w:val="00E928DC"/>
    <w:rsid w:val="00E9734B"/>
    <w:rsid w:val="00EA2094"/>
    <w:rsid w:val="00EA3805"/>
    <w:rsid w:val="00EA3BC0"/>
    <w:rsid w:val="00EA4728"/>
    <w:rsid w:val="00EA4761"/>
    <w:rsid w:val="00EA7D22"/>
    <w:rsid w:val="00EA7F88"/>
    <w:rsid w:val="00EB35FC"/>
    <w:rsid w:val="00EB7EDF"/>
    <w:rsid w:val="00EC0641"/>
    <w:rsid w:val="00EC4CBC"/>
    <w:rsid w:val="00ED0484"/>
    <w:rsid w:val="00ED2E52"/>
    <w:rsid w:val="00EE2272"/>
    <w:rsid w:val="00EE6CE2"/>
    <w:rsid w:val="00EE77DD"/>
    <w:rsid w:val="00EF29DE"/>
    <w:rsid w:val="00EF4CC6"/>
    <w:rsid w:val="00F00B81"/>
    <w:rsid w:val="00F07539"/>
    <w:rsid w:val="00F07797"/>
    <w:rsid w:val="00F11D65"/>
    <w:rsid w:val="00F162D4"/>
    <w:rsid w:val="00F2061F"/>
    <w:rsid w:val="00F20AFE"/>
    <w:rsid w:val="00F22AEC"/>
    <w:rsid w:val="00F31FC3"/>
    <w:rsid w:val="00F35CC0"/>
    <w:rsid w:val="00F40440"/>
    <w:rsid w:val="00F41A90"/>
    <w:rsid w:val="00F422B8"/>
    <w:rsid w:val="00F465D8"/>
    <w:rsid w:val="00F62AEF"/>
    <w:rsid w:val="00F65F9D"/>
    <w:rsid w:val="00F71DC7"/>
    <w:rsid w:val="00F739BE"/>
    <w:rsid w:val="00F73F6E"/>
    <w:rsid w:val="00F742B6"/>
    <w:rsid w:val="00F74FAF"/>
    <w:rsid w:val="00F76BF6"/>
    <w:rsid w:val="00F85222"/>
    <w:rsid w:val="00F879EC"/>
    <w:rsid w:val="00F87BA2"/>
    <w:rsid w:val="00F903D3"/>
    <w:rsid w:val="00F90BDC"/>
    <w:rsid w:val="00F92201"/>
    <w:rsid w:val="00F932A6"/>
    <w:rsid w:val="00F93A8F"/>
    <w:rsid w:val="00F945C7"/>
    <w:rsid w:val="00F958E9"/>
    <w:rsid w:val="00F96CF8"/>
    <w:rsid w:val="00FA027E"/>
    <w:rsid w:val="00FA6D94"/>
    <w:rsid w:val="00FA7BE8"/>
    <w:rsid w:val="00FB15C7"/>
    <w:rsid w:val="00FB2AB5"/>
    <w:rsid w:val="00FB3FD0"/>
    <w:rsid w:val="00FB4850"/>
    <w:rsid w:val="00FB52AD"/>
    <w:rsid w:val="00FB5B80"/>
    <w:rsid w:val="00FB6527"/>
    <w:rsid w:val="00FB7D0C"/>
    <w:rsid w:val="00FC10DC"/>
    <w:rsid w:val="00FC192F"/>
    <w:rsid w:val="00FC1A43"/>
    <w:rsid w:val="00FC3C93"/>
    <w:rsid w:val="00FC4AD6"/>
    <w:rsid w:val="00FC5565"/>
    <w:rsid w:val="00FC6192"/>
    <w:rsid w:val="00FC6410"/>
    <w:rsid w:val="00FD0521"/>
    <w:rsid w:val="00FD3544"/>
    <w:rsid w:val="00FD799B"/>
    <w:rsid w:val="00FE0339"/>
    <w:rsid w:val="00FE093D"/>
    <w:rsid w:val="00FE22E0"/>
    <w:rsid w:val="00FE48D3"/>
    <w:rsid w:val="00FE4918"/>
    <w:rsid w:val="00FE4EBE"/>
    <w:rsid w:val="00FE5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AB4A5"/>
  <w15:chartTrackingRefBased/>
  <w15:docId w15:val="{3A2BF170-4D40-8D42-AB12-DE2D2D47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ulación autos"/>
    <w:qFormat/>
    <w:rsid w:val="00CB02AC"/>
  </w:style>
  <w:style w:type="paragraph" w:styleId="Ttulo1">
    <w:name w:val="heading 1"/>
    <w:basedOn w:val="Normal"/>
    <w:next w:val="Normal"/>
    <w:link w:val="Ttulo1Car"/>
    <w:uiPriority w:val="9"/>
    <w:qFormat/>
    <w:rsid w:val="002C33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572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026CB"/>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357226"/>
    <w:pPr>
      <w:keepNext/>
      <w:keepLines/>
      <w:spacing w:before="40"/>
      <w:outlineLvl w:val="3"/>
    </w:pPr>
    <w:rPr>
      <w:rFonts w:asciiTheme="majorHAnsi" w:eastAsiaTheme="majorEastAsia" w:hAnsiTheme="majorHAnsi" w:cstheme="majorBidi"/>
      <w:i/>
      <w:iCs/>
      <w:color w:val="2F5496" w:themeColor="accent1" w:themeShade="BF"/>
      <w:lang w:val="es-ES_tradnl" w:eastAsia="es-ES_tradnl"/>
    </w:rPr>
  </w:style>
  <w:style w:type="paragraph" w:styleId="Ttulo5">
    <w:name w:val="heading 5"/>
    <w:basedOn w:val="Normal"/>
    <w:next w:val="Normal"/>
    <w:link w:val="Ttulo5Car"/>
    <w:uiPriority w:val="9"/>
    <w:semiHidden/>
    <w:unhideWhenUsed/>
    <w:qFormat/>
    <w:rsid w:val="00335F2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35F2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corrido">
    <w:name w:val="texto corrido"/>
    <w:basedOn w:val="Normal"/>
    <w:qFormat/>
    <w:rsid w:val="00B80D8A"/>
    <w:pPr>
      <w:spacing w:before="100"/>
    </w:pPr>
    <w:rPr>
      <w:rFonts w:ascii="Palatino" w:hAnsi="Palatino"/>
      <w:color w:val="404040" w:themeColor="text1" w:themeTint="BF"/>
      <w:sz w:val="18"/>
    </w:rPr>
  </w:style>
  <w:style w:type="paragraph" w:styleId="Encabezado">
    <w:name w:val="header"/>
    <w:basedOn w:val="Normal"/>
    <w:link w:val="EncabezadoCar"/>
    <w:uiPriority w:val="99"/>
    <w:unhideWhenUsed/>
    <w:rsid w:val="001D347F"/>
    <w:pPr>
      <w:tabs>
        <w:tab w:val="center" w:pos="4680"/>
        <w:tab w:val="right" w:pos="9360"/>
      </w:tabs>
    </w:pPr>
  </w:style>
  <w:style w:type="character" w:customStyle="1" w:styleId="EncabezadoCar">
    <w:name w:val="Encabezado Car"/>
    <w:basedOn w:val="Fuentedeprrafopredeter"/>
    <w:link w:val="Encabezado"/>
    <w:uiPriority w:val="99"/>
    <w:rsid w:val="001D347F"/>
    <w:rPr>
      <w:rFonts w:ascii="Avenir Roman" w:hAnsi="Avenir Roman"/>
      <w:sz w:val="16"/>
      <w:lang w:val="es-ES"/>
    </w:rPr>
  </w:style>
  <w:style w:type="paragraph" w:styleId="Piedepgina">
    <w:name w:val="footer"/>
    <w:basedOn w:val="Normal"/>
    <w:link w:val="PiedepginaCar"/>
    <w:uiPriority w:val="99"/>
    <w:unhideWhenUsed/>
    <w:rsid w:val="001D347F"/>
    <w:pPr>
      <w:tabs>
        <w:tab w:val="center" w:pos="4680"/>
        <w:tab w:val="right" w:pos="9360"/>
      </w:tabs>
    </w:pPr>
  </w:style>
  <w:style w:type="character" w:customStyle="1" w:styleId="PiedepginaCar">
    <w:name w:val="Pie de página Car"/>
    <w:basedOn w:val="Fuentedeprrafopredeter"/>
    <w:link w:val="Piedepgina"/>
    <w:uiPriority w:val="99"/>
    <w:rsid w:val="001D347F"/>
    <w:rPr>
      <w:rFonts w:ascii="Avenir Roman" w:hAnsi="Avenir Roman"/>
      <w:sz w:val="16"/>
      <w:lang w:val="es-ES"/>
    </w:rPr>
  </w:style>
  <w:style w:type="paragraph" w:styleId="Textodeglobo">
    <w:name w:val="Balloon Text"/>
    <w:basedOn w:val="Normal"/>
    <w:link w:val="TextodegloboCar"/>
    <w:uiPriority w:val="99"/>
    <w:semiHidden/>
    <w:unhideWhenUsed/>
    <w:rsid w:val="001D347F"/>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1D347F"/>
    <w:rPr>
      <w:rFonts w:ascii="Times New Roman" w:hAnsi="Times New Roman" w:cs="Times New Roman"/>
      <w:sz w:val="18"/>
      <w:szCs w:val="18"/>
      <w:lang w:val="es-ES"/>
    </w:rPr>
  </w:style>
  <w:style w:type="paragraph" w:styleId="Prrafodelista">
    <w:name w:val="List Paragraph"/>
    <w:aliases w:val="Segundo nivel de viñetas,List Paragraph,List Paragraph1,Segundo nivel de vi–etas,Segundo nivel de vi_etas,P‡rrafo de lista1,Lista vistosa - Énfasis 11,Bullet List,FooterText,numbered,Paragraphe de liste1,lp1,列出段落,列出段落1,Bullets,Ha,HOJA"/>
    <w:basedOn w:val="Normal"/>
    <w:link w:val="PrrafodelistaCar"/>
    <w:uiPriority w:val="34"/>
    <w:qFormat/>
    <w:rsid w:val="001D347F"/>
    <w:pPr>
      <w:ind w:left="720"/>
      <w:contextualSpacing/>
    </w:pPr>
  </w:style>
  <w:style w:type="paragraph" w:styleId="NormalWeb">
    <w:name w:val="Normal (Web)"/>
    <w:basedOn w:val="Normal"/>
    <w:uiPriority w:val="99"/>
    <w:unhideWhenUsed/>
    <w:rsid w:val="001D347F"/>
    <w:pPr>
      <w:spacing w:before="100" w:beforeAutospacing="1" w:after="100" w:afterAutospacing="1"/>
    </w:pPr>
    <w:rPr>
      <w:rFonts w:eastAsia="Times New Roman" w:cstheme="minorBidi"/>
      <w:color w:val="262626" w:themeColor="text1" w:themeTint="D9"/>
      <w:lang w:val="es-CO" w:eastAsia="es-CO"/>
    </w:rPr>
  </w:style>
  <w:style w:type="character" w:customStyle="1" w:styleId="Ttulo1Car">
    <w:name w:val="Título 1 Car"/>
    <w:basedOn w:val="Fuentedeprrafopredeter"/>
    <w:link w:val="Ttulo1"/>
    <w:uiPriority w:val="9"/>
    <w:rsid w:val="002C33AD"/>
    <w:rPr>
      <w:rFonts w:asciiTheme="majorHAnsi" w:eastAsiaTheme="majorEastAsia" w:hAnsiTheme="majorHAnsi" w:cstheme="majorBidi"/>
      <w:color w:val="2F5496" w:themeColor="accent1" w:themeShade="BF"/>
      <w:sz w:val="32"/>
      <w:szCs w:val="32"/>
    </w:rPr>
  </w:style>
  <w:style w:type="character" w:styleId="Nmerodepgina">
    <w:name w:val="page number"/>
    <w:basedOn w:val="Fuentedeprrafopredeter"/>
    <w:uiPriority w:val="99"/>
    <w:semiHidden/>
    <w:unhideWhenUsed/>
    <w:rsid w:val="00050BFF"/>
  </w:style>
  <w:style w:type="character" w:customStyle="1" w:styleId="Ttulo2Car">
    <w:name w:val="Título 2 Car"/>
    <w:basedOn w:val="Fuentedeprrafopredeter"/>
    <w:link w:val="Ttulo2"/>
    <w:uiPriority w:val="9"/>
    <w:rsid w:val="00357226"/>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357226"/>
    <w:rPr>
      <w:rFonts w:asciiTheme="majorHAnsi" w:eastAsiaTheme="majorEastAsia" w:hAnsiTheme="majorHAnsi" w:cstheme="majorBidi"/>
      <w:i/>
      <w:iCs/>
      <w:color w:val="2F5496" w:themeColor="accent1" w:themeShade="BF"/>
      <w:lang w:val="es-ES_tradnl" w:eastAsia="es-ES_tradnl"/>
    </w:rPr>
  </w:style>
  <w:style w:type="character" w:styleId="Hipervnculo">
    <w:name w:val="Hyperlink"/>
    <w:basedOn w:val="Fuentedeprrafopredeter"/>
    <w:uiPriority w:val="99"/>
    <w:unhideWhenUsed/>
    <w:rsid w:val="00357226"/>
    <w:rPr>
      <w:color w:val="0563C1" w:themeColor="hyperlink"/>
      <w:u w:val="single"/>
    </w:rPr>
  </w:style>
  <w:style w:type="character" w:customStyle="1" w:styleId="normaltextrun">
    <w:name w:val="normaltextrun"/>
    <w:basedOn w:val="Fuentedeprrafopredeter"/>
    <w:rsid w:val="00357226"/>
  </w:style>
  <w:style w:type="paragraph" w:styleId="Sinespaciado">
    <w:name w:val="No Spacing"/>
    <w:link w:val="SinespaciadoCar"/>
    <w:uiPriority w:val="1"/>
    <w:qFormat/>
    <w:rsid w:val="00357226"/>
    <w:rPr>
      <w:rFonts w:asciiTheme="minorHAnsi" w:eastAsiaTheme="minorEastAsia" w:hAnsiTheme="minorHAnsi" w:cstheme="minorBidi"/>
      <w:sz w:val="22"/>
      <w:szCs w:val="22"/>
      <w:lang w:val="es-ES" w:eastAsia="es-ES"/>
    </w:rPr>
  </w:style>
  <w:style w:type="character" w:customStyle="1" w:styleId="SinespaciadoCar">
    <w:name w:val="Sin espaciado Car"/>
    <w:basedOn w:val="Fuentedeprrafopredeter"/>
    <w:link w:val="Sinespaciado"/>
    <w:uiPriority w:val="1"/>
    <w:rsid w:val="00357226"/>
    <w:rPr>
      <w:rFonts w:asciiTheme="minorHAnsi" w:eastAsiaTheme="minorEastAsia" w:hAnsiTheme="minorHAnsi" w:cstheme="minorBidi"/>
      <w:sz w:val="22"/>
      <w:szCs w:val="22"/>
      <w:lang w:val="es-ES" w:eastAsia="es-ES"/>
    </w:rPr>
  </w:style>
  <w:style w:type="character" w:customStyle="1" w:styleId="PrrafodelistaCar">
    <w:name w:val="Párrafo de lista Car"/>
    <w:aliases w:val="Segundo nivel de viñetas Car,List Paragraph Car,List Paragraph1 Car,Segundo nivel de vi–etas Car,Segundo nivel de vi_etas Car,P‡rrafo de lista1 Car,Lista vistosa - Énfasis 11 Car,Bullet List Car,FooterText Car,numbered Car,lp1 Car"/>
    <w:link w:val="Prrafodelista"/>
    <w:uiPriority w:val="34"/>
    <w:qFormat/>
    <w:locked/>
    <w:rsid w:val="00357226"/>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Texto nota pie1,texto de nota al pie"/>
    <w:basedOn w:val="Normal"/>
    <w:link w:val="TextonotapieCar"/>
    <w:uiPriority w:val="99"/>
    <w:unhideWhenUsed/>
    <w:qFormat/>
    <w:rsid w:val="00357226"/>
    <w:pPr>
      <w:widowControl w:val="0"/>
      <w:autoSpaceDE w:val="0"/>
      <w:autoSpaceDN w:val="0"/>
      <w:adjustRightInd w:val="0"/>
      <w:jc w:val="both"/>
    </w:pPr>
    <w:rPr>
      <w:rFonts w:asciiTheme="minorHAnsi" w:hAnsiTheme="minorHAnsi"/>
      <w:sz w:val="18"/>
      <w:szCs w:val="18"/>
      <w:lang w:val="es-CO"/>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Texto nota pie1 Car"/>
    <w:basedOn w:val="Fuentedeprrafopredeter"/>
    <w:link w:val="Textonotapie"/>
    <w:uiPriority w:val="99"/>
    <w:rsid w:val="00357226"/>
    <w:rPr>
      <w:rFonts w:asciiTheme="minorHAnsi" w:hAnsiTheme="minorHAnsi"/>
      <w:sz w:val="18"/>
      <w:szCs w:val="18"/>
      <w:lang w:val="es-CO"/>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Pie de pagina,R"/>
    <w:basedOn w:val="Fuentedeprrafopredeter"/>
    <w:uiPriority w:val="99"/>
    <w:unhideWhenUsed/>
    <w:qFormat/>
    <w:rsid w:val="00357226"/>
    <w:rPr>
      <w:vertAlign w:val="superscript"/>
    </w:rPr>
  </w:style>
  <w:style w:type="character" w:customStyle="1" w:styleId="Ttulo5Car">
    <w:name w:val="Título 5 Car"/>
    <w:basedOn w:val="Fuentedeprrafopredeter"/>
    <w:link w:val="Ttulo5"/>
    <w:uiPriority w:val="9"/>
    <w:semiHidden/>
    <w:rsid w:val="00335F2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35F2B"/>
    <w:rPr>
      <w:rFonts w:asciiTheme="majorHAnsi" w:eastAsiaTheme="majorEastAsia" w:hAnsiTheme="majorHAnsi" w:cstheme="majorBidi"/>
      <w:color w:val="1F3763" w:themeColor="accent1" w:themeShade="7F"/>
    </w:rPr>
  </w:style>
  <w:style w:type="paragraph" w:styleId="TtuloTDC">
    <w:name w:val="TOC Heading"/>
    <w:basedOn w:val="Ttulo1"/>
    <w:next w:val="Normal"/>
    <w:uiPriority w:val="39"/>
    <w:unhideWhenUsed/>
    <w:qFormat/>
    <w:rsid w:val="00DD7D20"/>
    <w:pPr>
      <w:spacing w:line="259" w:lineRule="auto"/>
      <w:outlineLvl w:val="9"/>
    </w:pPr>
    <w:rPr>
      <w:lang w:val="es-CO" w:eastAsia="es-CO"/>
    </w:rPr>
  </w:style>
  <w:style w:type="paragraph" w:styleId="TDC1">
    <w:name w:val="toc 1"/>
    <w:basedOn w:val="Normal"/>
    <w:next w:val="Normal"/>
    <w:autoRedefine/>
    <w:uiPriority w:val="39"/>
    <w:unhideWhenUsed/>
    <w:rsid w:val="00863D18"/>
    <w:pPr>
      <w:tabs>
        <w:tab w:val="left" w:pos="440"/>
        <w:tab w:val="right" w:leader="dot" w:pos="9168"/>
      </w:tabs>
      <w:jc w:val="both"/>
    </w:pPr>
  </w:style>
  <w:style w:type="paragraph" w:styleId="TDC2">
    <w:name w:val="toc 2"/>
    <w:basedOn w:val="Normal"/>
    <w:next w:val="Normal"/>
    <w:autoRedefine/>
    <w:uiPriority w:val="39"/>
    <w:unhideWhenUsed/>
    <w:rsid w:val="00FA6D94"/>
    <w:pPr>
      <w:tabs>
        <w:tab w:val="left" w:pos="880"/>
        <w:tab w:val="right" w:leader="dot" w:pos="9168"/>
      </w:tabs>
      <w:spacing w:after="100"/>
      <w:ind w:left="240"/>
    </w:pPr>
  </w:style>
  <w:style w:type="table" w:styleId="Tablaconcuadrcula">
    <w:name w:val="Table Grid"/>
    <w:basedOn w:val="Tablanormal"/>
    <w:uiPriority w:val="39"/>
    <w:rsid w:val="00487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48770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5026CB"/>
    <w:rPr>
      <w:rFonts w:asciiTheme="majorHAnsi" w:eastAsiaTheme="majorEastAsia" w:hAnsiTheme="majorHAnsi" w:cstheme="majorBidi"/>
      <w:color w:val="1F3763" w:themeColor="accent1" w:themeShade="7F"/>
    </w:rPr>
  </w:style>
  <w:style w:type="paragraph" w:styleId="TDC3">
    <w:name w:val="toc 3"/>
    <w:basedOn w:val="Normal"/>
    <w:next w:val="Normal"/>
    <w:autoRedefine/>
    <w:uiPriority w:val="39"/>
    <w:unhideWhenUsed/>
    <w:rsid w:val="00863D18"/>
    <w:pPr>
      <w:spacing w:after="100"/>
      <w:ind w:left="480"/>
    </w:pPr>
  </w:style>
  <w:style w:type="paragraph" w:styleId="TDC4">
    <w:name w:val="toc 4"/>
    <w:basedOn w:val="Normal"/>
    <w:next w:val="Normal"/>
    <w:autoRedefine/>
    <w:uiPriority w:val="39"/>
    <w:unhideWhenUsed/>
    <w:rsid w:val="00863D18"/>
    <w:pPr>
      <w:spacing w:after="100"/>
      <w:ind w:left="720"/>
    </w:pPr>
  </w:style>
  <w:style w:type="paragraph" w:styleId="Descripcin">
    <w:name w:val="caption"/>
    <w:basedOn w:val="Normal"/>
    <w:next w:val="Normal"/>
    <w:uiPriority w:val="35"/>
    <w:unhideWhenUsed/>
    <w:qFormat/>
    <w:rsid w:val="002C497A"/>
    <w:pPr>
      <w:spacing w:after="200"/>
    </w:pPr>
    <w:rPr>
      <w:i/>
      <w:iCs/>
      <w:color w:val="44546A" w:themeColor="text2"/>
      <w:sz w:val="18"/>
      <w:szCs w:val="18"/>
    </w:rPr>
  </w:style>
  <w:style w:type="character" w:styleId="Refdecomentario">
    <w:name w:val="annotation reference"/>
    <w:basedOn w:val="Fuentedeprrafopredeter"/>
    <w:uiPriority w:val="99"/>
    <w:semiHidden/>
    <w:unhideWhenUsed/>
    <w:rsid w:val="00744BE6"/>
    <w:rPr>
      <w:sz w:val="16"/>
      <w:szCs w:val="16"/>
    </w:rPr>
  </w:style>
  <w:style w:type="paragraph" w:styleId="Textocomentario">
    <w:name w:val="annotation text"/>
    <w:basedOn w:val="Normal"/>
    <w:link w:val="TextocomentarioCar"/>
    <w:uiPriority w:val="99"/>
    <w:semiHidden/>
    <w:unhideWhenUsed/>
    <w:rsid w:val="00744BE6"/>
    <w:rPr>
      <w:sz w:val="20"/>
      <w:szCs w:val="20"/>
    </w:rPr>
  </w:style>
  <w:style w:type="character" w:customStyle="1" w:styleId="TextocomentarioCar">
    <w:name w:val="Texto comentario Car"/>
    <w:basedOn w:val="Fuentedeprrafopredeter"/>
    <w:link w:val="Textocomentario"/>
    <w:uiPriority w:val="99"/>
    <w:semiHidden/>
    <w:rsid w:val="00744BE6"/>
    <w:rPr>
      <w:sz w:val="20"/>
      <w:szCs w:val="20"/>
    </w:rPr>
  </w:style>
  <w:style w:type="paragraph" w:styleId="Asuntodelcomentario">
    <w:name w:val="annotation subject"/>
    <w:basedOn w:val="Textocomentario"/>
    <w:next w:val="Textocomentario"/>
    <w:link w:val="AsuntodelcomentarioCar"/>
    <w:uiPriority w:val="99"/>
    <w:semiHidden/>
    <w:unhideWhenUsed/>
    <w:rsid w:val="00744BE6"/>
    <w:rPr>
      <w:b/>
      <w:bCs/>
    </w:rPr>
  </w:style>
  <w:style w:type="character" w:customStyle="1" w:styleId="AsuntodelcomentarioCar">
    <w:name w:val="Asunto del comentario Car"/>
    <w:basedOn w:val="TextocomentarioCar"/>
    <w:link w:val="Asuntodelcomentario"/>
    <w:uiPriority w:val="99"/>
    <w:semiHidden/>
    <w:rsid w:val="00744BE6"/>
    <w:rPr>
      <w:b/>
      <w:bCs/>
      <w:sz w:val="20"/>
      <w:szCs w:val="20"/>
    </w:rPr>
  </w:style>
  <w:style w:type="paragraph" w:styleId="Revisin">
    <w:name w:val="Revision"/>
    <w:hidden/>
    <w:uiPriority w:val="99"/>
    <w:semiHidden/>
    <w:rsid w:val="00370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627">
      <w:bodyDiv w:val="1"/>
      <w:marLeft w:val="0"/>
      <w:marRight w:val="0"/>
      <w:marTop w:val="0"/>
      <w:marBottom w:val="0"/>
      <w:divBdr>
        <w:top w:val="none" w:sz="0" w:space="0" w:color="auto"/>
        <w:left w:val="none" w:sz="0" w:space="0" w:color="auto"/>
        <w:bottom w:val="none" w:sz="0" w:space="0" w:color="auto"/>
        <w:right w:val="none" w:sz="0" w:space="0" w:color="auto"/>
      </w:divBdr>
      <w:divsChild>
        <w:div w:id="1144355080">
          <w:marLeft w:val="0"/>
          <w:marRight w:val="0"/>
          <w:marTop w:val="0"/>
          <w:marBottom w:val="0"/>
          <w:divBdr>
            <w:top w:val="none" w:sz="0" w:space="0" w:color="auto"/>
            <w:left w:val="none" w:sz="0" w:space="0" w:color="auto"/>
            <w:bottom w:val="none" w:sz="0" w:space="0" w:color="auto"/>
            <w:right w:val="none" w:sz="0" w:space="0" w:color="auto"/>
          </w:divBdr>
        </w:div>
        <w:div w:id="764035553">
          <w:marLeft w:val="0"/>
          <w:marRight w:val="0"/>
          <w:marTop w:val="0"/>
          <w:marBottom w:val="0"/>
          <w:divBdr>
            <w:top w:val="none" w:sz="0" w:space="0" w:color="auto"/>
            <w:left w:val="none" w:sz="0" w:space="0" w:color="auto"/>
            <w:bottom w:val="none" w:sz="0" w:space="0" w:color="auto"/>
            <w:right w:val="none" w:sz="0" w:space="0" w:color="auto"/>
          </w:divBdr>
        </w:div>
      </w:divsChild>
    </w:div>
    <w:div w:id="43608391">
      <w:bodyDiv w:val="1"/>
      <w:marLeft w:val="0"/>
      <w:marRight w:val="0"/>
      <w:marTop w:val="0"/>
      <w:marBottom w:val="0"/>
      <w:divBdr>
        <w:top w:val="none" w:sz="0" w:space="0" w:color="auto"/>
        <w:left w:val="none" w:sz="0" w:space="0" w:color="auto"/>
        <w:bottom w:val="none" w:sz="0" w:space="0" w:color="auto"/>
        <w:right w:val="none" w:sz="0" w:space="0" w:color="auto"/>
      </w:divBdr>
    </w:div>
    <w:div w:id="76171600">
      <w:bodyDiv w:val="1"/>
      <w:marLeft w:val="0"/>
      <w:marRight w:val="0"/>
      <w:marTop w:val="0"/>
      <w:marBottom w:val="0"/>
      <w:divBdr>
        <w:top w:val="none" w:sz="0" w:space="0" w:color="auto"/>
        <w:left w:val="none" w:sz="0" w:space="0" w:color="auto"/>
        <w:bottom w:val="none" w:sz="0" w:space="0" w:color="auto"/>
        <w:right w:val="none" w:sz="0" w:space="0" w:color="auto"/>
      </w:divBdr>
    </w:div>
    <w:div w:id="77754131">
      <w:bodyDiv w:val="1"/>
      <w:marLeft w:val="0"/>
      <w:marRight w:val="0"/>
      <w:marTop w:val="0"/>
      <w:marBottom w:val="0"/>
      <w:divBdr>
        <w:top w:val="none" w:sz="0" w:space="0" w:color="auto"/>
        <w:left w:val="none" w:sz="0" w:space="0" w:color="auto"/>
        <w:bottom w:val="none" w:sz="0" w:space="0" w:color="auto"/>
        <w:right w:val="none" w:sz="0" w:space="0" w:color="auto"/>
      </w:divBdr>
    </w:div>
    <w:div w:id="83036027">
      <w:bodyDiv w:val="1"/>
      <w:marLeft w:val="0"/>
      <w:marRight w:val="0"/>
      <w:marTop w:val="0"/>
      <w:marBottom w:val="0"/>
      <w:divBdr>
        <w:top w:val="none" w:sz="0" w:space="0" w:color="auto"/>
        <w:left w:val="none" w:sz="0" w:space="0" w:color="auto"/>
        <w:bottom w:val="none" w:sz="0" w:space="0" w:color="auto"/>
        <w:right w:val="none" w:sz="0" w:space="0" w:color="auto"/>
      </w:divBdr>
    </w:div>
    <w:div w:id="87848812">
      <w:bodyDiv w:val="1"/>
      <w:marLeft w:val="0"/>
      <w:marRight w:val="0"/>
      <w:marTop w:val="0"/>
      <w:marBottom w:val="0"/>
      <w:divBdr>
        <w:top w:val="none" w:sz="0" w:space="0" w:color="auto"/>
        <w:left w:val="none" w:sz="0" w:space="0" w:color="auto"/>
        <w:bottom w:val="none" w:sz="0" w:space="0" w:color="auto"/>
        <w:right w:val="none" w:sz="0" w:space="0" w:color="auto"/>
      </w:divBdr>
    </w:div>
    <w:div w:id="121967354">
      <w:bodyDiv w:val="1"/>
      <w:marLeft w:val="0"/>
      <w:marRight w:val="0"/>
      <w:marTop w:val="0"/>
      <w:marBottom w:val="0"/>
      <w:divBdr>
        <w:top w:val="none" w:sz="0" w:space="0" w:color="auto"/>
        <w:left w:val="none" w:sz="0" w:space="0" w:color="auto"/>
        <w:bottom w:val="none" w:sz="0" w:space="0" w:color="auto"/>
        <w:right w:val="none" w:sz="0" w:space="0" w:color="auto"/>
      </w:divBdr>
    </w:div>
    <w:div w:id="131486895">
      <w:bodyDiv w:val="1"/>
      <w:marLeft w:val="0"/>
      <w:marRight w:val="0"/>
      <w:marTop w:val="0"/>
      <w:marBottom w:val="0"/>
      <w:divBdr>
        <w:top w:val="none" w:sz="0" w:space="0" w:color="auto"/>
        <w:left w:val="none" w:sz="0" w:space="0" w:color="auto"/>
        <w:bottom w:val="none" w:sz="0" w:space="0" w:color="auto"/>
        <w:right w:val="none" w:sz="0" w:space="0" w:color="auto"/>
      </w:divBdr>
      <w:divsChild>
        <w:div w:id="1276908416">
          <w:marLeft w:val="0"/>
          <w:marRight w:val="0"/>
          <w:marTop w:val="0"/>
          <w:marBottom w:val="0"/>
          <w:divBdr>
            <w:top w:val="none" w:sz="0" w:space="0" w:color="auto"/>
            <w:left w:val="none" w:sz="0" w:space="0" w:color="auto"/>
            <w:bottom w:val="none" w:sz="0" w:space="0" w:color="auto"/>
            <w:right w:val="none" w:sz="0" w:space="0" w:color="auto"/>
          </w:divBdr>
        </w:div>
        <w:div w:id="1317762777">
          <w:marLeft w:val="0"/>
          <w:marRight w:val="0"/>
          <w:marTop w:val="0"/>
          <w:marBottom w:val="0"/>
          <w:divBdr>
            <w:top w:val="none" w:sz="0" w:space="0" w:color="auto"/>
            <w:left w:val="none" w:sz="0" w:space="0" w:color="auto"/>
            <w:bottom w:val="none" w:sz="0" w:space="0" w:color="auto"/>
            <w:right w:val="none" w:sz="0" w:space="0" w:color="auto"/>
          </w:divBdr>
        </w:div>
      </w:divsChild>
    </w:div>
    <w:div w:id="146631563">
      <w:bodyDiv w:val="1"/>
      <w:marLeft w:val="0"/>
      <w:marRight w:val="0"/>
      <w:marTop w:val="0"/>
      <w:marBottom w:val="0"/>
      <w:divBdr>
        <w:top w:val="none" w:sz="0" w:space="0" w:color="auto"/>
        <w:left w:val="none" w:sz="0" w:space="0" w:color="auto"/>
        <w:bottom w:val="none" w:sz="0" w:space="0" w:color="auto"/>
        <w:right w:val="none" w:sz="0" w:space="0" w:color="auto"/>
      </w:divBdr>
    </w:div>
    <w:div w:id="219021376">
      <w:bodyDiv w:val="1"/>
      <w:marLeft w:val="0"/>
      <w:marRight w:val="0"/>
      <w:marTop w:val="0"/>
      <w:marBottom w:val="0"/>
      <w:divBdr>
        <w:top w:val="none" w:sz="0" w:space="0" w:color="auto"/>
        <w:left w:val="none" w:sz="0" w:space="0" w:color="auto"/>
        <w:bottom w:val="none" w:sz="0" w:space="0" w:color="auto"/>
        <w:right w:val="none" w:sz="0" w:space="0" w:color="auto"/>
      </w:divBdr>
    </w:div>
    <w:div w:id="257950493">
      <w:bodyDiv w:val="1"/>
      <w:marLeft w:val="0"/>
      <w:marRight w:val="0"/>
      <w:marTop w:val="0"/>
      <w:marBottom w:val="0"/>
      <w:divBdr>
        <w:top w:val="none" w:sz="0" w:space="0" w:color="auto"/>
        <w:left w:val="none" w:sz="0" w:space="0" w:color="auto"/>
        <w:bottom w:val="none" w:sz="0" w:space="0" w:color="auto"/>
        <w:right w:val="none" w:sz="0" w:space="0" w:color="auto"/>
      </w:divBdr>
    </w:div>
    <w:div w:id="302660872">
      <w:bodyDiv w:val="1"/>
      <w:marLeft w:val="0"/>
      <w:marRight w:val="0"/>
      <w:marTop w:val="0"/>
      <w:marBottom w:val="0"/>
      <w:divBdr>
        <w:top w:val="none" w:sz="0" w:space="0" w:color="auto"/>
        <w:left w:val="none" w:sz="0" w:space="0" w:color="auto"/>
        <w:bottom w:val="none" w:sz="0" w:space="0" w:color="auto"/>
        <w:right w:val="none" w:sz="0" w:space="0" w:color="auto"/>
      </w:divBdr>
    </w:div>
    <w:div w:id="316151958">
      <w:bodyDiv w:val="1"/>
      <w:marLeft w:val="0"/>
      <w:marRight w:val="0"/>
      <w:marTop w:val="0"/>
      <w:marBottom w:val="0"/>
      <w:divBdr>
        <w:top w:val="none" w:sz="0" w:space="0" w:color="auto"/>
        <w:left w:val="none" w:sz="0" w:space="0" w:color="auto"/>
        <w:bottom w:val="none" w:sz="0" w:space="0" w:color="auto"/>
        <w:right w:val="none" w:sz="0" w:space="0" w:color="auto"/>
      </w:divBdr>
    </w:div>
    <w:div w:id="380330753">
      <w:bodyDiv w:val="1"/>
      <w:marLeft w:val="0"/>
      <w:marRight w:val="0"/>
      <w:marTop w:val="0"/>
      <w:marBottom w:val="0"/>
      <w:divBdr>
        <w:top w:val="none" w:sz="0" w:space="0" w:color="auto"/>
        <w:left w:val="none" w:sz="0" w:space="0" w:color="auto"/>
        <w:bottom w:val="none" w:sz="0" w:space="0" w:color="auto"/>
        <w:right w:val="none" w:sz="0" w:space="0" w:color="auto"/>
      </w:divBdr>
    </w:div>
    <w:div w:id="394356176">
      <w:bodyDiv w:val="1"/>
      <w:marLeft w:val="0"/>
      <w:marRight w:val="0"/>
      <w:marTop w:val="0"/>
      <w:marBottom w:val="0"/>
      <w:divBdr>
        <w:top w:val="none" w:sz="0" w:space="0" w:color="auto"/>
        <w:left w:val="none" w:sz="0" w:space="0" w:color="auto"/>
        <w:bottom w:val="none" w:sz="0" w:space="0" w:color="auto"/>
        <w:right w:val="none" w:sz="0" w:space="0" w:color="auto"/>
      </w:divBdr>
    </w:div>
    <w:div w:id="394820647">
      <w:bodyDiv w:val="1"/>
      <w:marLeft w:val="0"/>
      <w:marRight w:val="0"/>
      <w:marTop w:val="0"/>
      <w:marBottom w:val="0"/>
      <w:divBdr>
        <w:top w:val="none" w:sz="0" w:space="0" w:color="auto"/>
        <w:left w:val="none" w:sz="0" w:space="0" w:color="auto"/>
        <w:bottom w:val="none" w:sz="0" w:space="0" w:color="auto"/>
        <w:right w:val="none" w:sz="0" w:space="0" w:color="auto"/>
      </w:divBdr>
    </w:div>
    <w:div w:id="443232536">
      <w:bodyDiv w:val="1"/>
      <w:marLeft w:val="0"/>
      <w:marRight w:val="0"/>
      <w:marTop w:val="0"/>
      <w:marBottom w:val="0"/>
      <w:divBdr>
        <w:top w:val="none" w:sz="0" w:space="0" w:color="auto"/>
        <w:left w:val="none" w:sz="0" w:space="0" w:color="auto"/>
        <w:bottom w:val="none" w:sz="0" w:space="0" w:color="auto"/>
        <w:right w:val="none" w:sz="0" w:space="0" w:color="auto"/>
      </w:divBdr>
    </w:div>
    <w:div w:id="451096986">
      <w:bodyDiv w:val="1"/>
      <w:marLeft w:val="0"/>
      <w:marRight w:val="0"/>
      <w:marTop w:val="0"/>
      <w:marBottom w:val="0"/>
      <w:divBdr>
        <w:top w:val="none" w:sz="0" w:space="0" w:color="auto"/>
        <w:left w:val="none" w:sz="0" w:space="0" w:color="auto"/>
        <w:bottom w:val="none" w:sz="0" w:space="0" w:color="auto"/>
        <w:right w:val="none" w:sz="0" w:space="0" w:color="auto"/>
      </w:divBdr>
    </w:div>
    <w:div w:id="527450906">
      <w:bodyDiv w:val="1"/>
      <w:marLeft w:val="0"/>
      <w:marRight w:val="0"/>
      <w:marTop w:val="0"/>
      <w:marBottom w:val="0"/>
      <w:divBdr>
        <w:top w:val="none" w:sz="0" w:space="0" w:color="auto"/>
        <w:left w:val="none" w:sz="0" w:space="0" w:color="auto"/>
        <w:bottom w:val="none" w:sz="0" w:space="0" w:color="auto"/>
        <w:right w:val="none" w:sz="0" w:space="0" w:color="auto"/>
      </w:divBdr>
    </w:div>
    <w:div w:id="592015174">
      <w:bodyDiv w:val="1"/>
      <w:marLeft w:val="0"/>
      <w:marRight w:val="0"/>
      <w:marTop w:val="0"/>
      <w:marBottom w:val="0"/>
      <w:divBdr>
        <w:top w:val="none" w:sz="0" w:space="0" w:color="auto"/>
        <w:left w:val="none" w:sz="0" w:space="0" w:color="auto"/>
        <w:bottom w:val="none" w:sz="0" w:space="0" w:color="auto"/>
        <w:right w:val="none" w:sz="0" w:space="0" w:color="auto"/>
      </w:divBdr>
    </w:div>
    <w:div w:id="633877005">
      <w:bodyDiv w:val="1"/>
      <w:marLeft w:val="0"/>
      <w:marRight w:val="0"/>
      <w:marTop w:val="0"/>
      <w:marBottom w:val="0"/>
      <w:divBdr>
        <w:top w:val="none" w:sz="0" w:space="0" w:color="auto"/>
        <w:left w:val="none" w:sz="0" w:space="0" w:color="auto"/>
        <w:bottom w:val="none" w:sz="0" w:space="0" w:color="auto"/>
        <w:right w:val="none" w:sz="0" w:space="0" w:color="auto"/>
      </w:divBdr>
    </w:div>
    <w:div w:id="675616666">
      <w:bodyDiv w:val="1"/>
      <w:marLeft w:val="0"/>
      <w:marRight w:val="0"/>
      <w:marTop w:val="0"/>
      <w:marBottom w:val="0"/>
      <w:divBdr>
        <w:top w:val="none" w:sz="0" w:space="0" w:color="auto"/>
        <w:left w:val="none" w:sz="0" w:space="0" w:color="auto"/>
        <w:bottom w:val="none" w:sz="0" w:space="0" w:color="auto"/>
        <w:right w:val="none" w:sz="0" w:space="0" w:color="auto"/>
      </w:divBdr>
    </w:div>
    <w:div w:id="696588465">
      <w:bodyDiv w:val="1"/>
      <w:marLeft w:val="0"/>
      <w:marRight w:val="0"/>
      <w:marTop w:val="0"/>
      <w:marBottom w:val="0"/>
      <w:divBdr>
        <w:top w:val="none" w:sz="0" w:space="0" w:color="auto"/>
        <w:left w:val="none" w:sz="0" w:space="0" w:color="auto"/>
        <w:bottom w:val="none" w:sz="0" w:space="0" w:color="auto"/>
        <w:right w:val="none" w:sz="0" w:space="0" w:color="auto"/>
      </w:divBdr>
    </w:div>
    <w:div w:id="704982968">
      <w:bodyDiv w:val="1"/>
      <w:marLeft w:val="0"/>
      <w:marRight w:val="0"/>
      <w:marTop w:val="0"/>
      <w:marBottom w:val="0"/>
      <w:divBdr>
        <w:top w:val="none" w:sz="0" w:space="0" w:color="auto"/>
        <w:left w:val="none" w:sz="0" w:space="0" w:color="auto"/>
        <w:bottom w:val="none" w:sz="0" w:space="0" w:color="auto"/>
        <w:right w:val="none" w:sz="0" w:space="0" w:color="auto"/>
      </w:divBdr>
    </w:div>
    <w:div w:id="725492051">
      <w:bodyDiv w:val="1"/>
      <w:marLeft w:val="0"/>
      <w:marRight w:val="0"/>
      <w:marTop w:val="0"/>
      <w:marBottom w:val="0"/>
      <w:divBdr>
        <w:top w:val="none" w:sz="0" w:space="0" w:color="auto"/>
        <w:left w:val="none" w:sz="0" w:space="0" w:color="auto"/>
        <w:bottom w:val="none" w:sz="0" w:space="0" w:color="auto"/>
        <w:right w:val="none" w:sz="0" w:space="0" w:color="auto"/>
      </w:divBdr>
    </w:div>
    <w:div w:id="730494686">
      <w:bodyDiv w:val="1"/>
      <w:marLeft w:val="0"/>
      <w:marRight w:val="0"/>
      <w:marTop w:val="0"/>
      <w:marBottom w:val="0"/>
      <w:divBdr>
        <w:top w:val="none" w:sz="0" w:space="0" w:color="auto"/>
        <w:left w:val="none" w:sz="0" w:space="0" w:color="auto"/>
        <w:bottom w:val="none" w:sz="0" w:space="0" w:color="auto"/>
        <w:right w:val="none" w:sz="0" w:space="0" w:color="auto"/>
      </w:divBdr>
    </w:div>
    <w:div w:id="857933028">
      <w:bodyDiv w:val="1"/>
      <w:marLeft w:val="0"/>
      <w:marRight w:val="0"/>
      <w:marTop w:val="0"/>
      <w:marBottom w:val="0"/>
      <w:divBdr>
        <w:top w:val="none" w:sz="0" w:space="0" w:color="auto"/>
        <w:left w:val="none" w:sz="0" w:space="0" w:color="auto"/>
        <w:bottom w:val="none" w:sz="0" w:space="0" w:color="auto"/>
        <w:right w:val="none" w:sz="0" w:space="0" w:color="auto"/>
      </w:divBdr>
      <w:divsChild>
        <w:div w:id="177887321">
          <w:marLeft w:val="0"/>
          <w:marRight w:val="0"/>
          <w:marTop w:val="0"/>
          <w:marBottom w:val="0"/>
          <w:divBdr>
            <w:top w:val="none" w:sz="0" w:space="0" w:color="auto"/>
            <w:left w:val="none" w:sz="0" w:space="0" w:color="auto"/>
            <w:bottom w:val="none" w:sz="0" w:space="0" w:color="auto"/>
            <w:right w:val="none" w:sz="0" w:space="0" w:color="auto"/>
          </w:divBdr>
        </w:div>
        <w:div w:id="1424914185">
          <w:marLeft w:val="0"/>
          <w:marRight w:val="0"/>
          <w:marTop w:val="0"/>
          <w:marBottom w:val="0"/>
          <w:divBdr>
            <w:top w:val="none" w:sz="0" w:space="0" w:color="auto"/>
            <w:left w:val="none" w:sz="0" w:space="0" w:color="auto"/>
            <w:bottom w:val="none" w:sz="0" w:space="0" w:color="auto"/>
            <w:right w:val="none" w:sz="0" w:space="0" w:color="auto"/>
          </w:divBdr>
        </w:div>
      </w:divsChild>
    </w:div>
    <w:div w:id="910113877">
      <w:bodyDiv w:val="1"/>
      <w:marLeft w:val="0"/>
      <w:marRight w:val="0"/>
      <w:marTop w:val="0"/>
      <w:marBottom w:val="0"/>
      <w:divBdr>
        <w:top w:val="none" w:sz="0" w:space="0" w:color="auto"/>
        <w:left w:val="none" w:sz="0" w:space="0" w:color="auto"/>
        <w:bottom w:val="none" w:sz="0" w:space="0" w:color="auto"/>
        <w:right w:val="none" w:sz="0" w:space="0" w:color="auto"/>
      </w:divBdr>
    </w:div>
    <w:div w:id="966857798">
      <w:bodyDiv w:val="1"/>
      <w:marLeft w:val="0"/>
      <w:marRight w:val="0"/>
      <w:marTop w:val="0"/>
      <w:marBottom w:val="0"/>
      <w:divBdr>
        <w:top w:val="none" w:sz="0" w:space="0" w:color="auto"/>
        <w:left w:val="none" w:sz="0" w:space="0" w:color="auto"/>
        <w:bottom w:val="none" w:sz="0" w:space="0" w:color="auto"/>
        <w:right w:val="none" w:sz="0" w:space="0" w:color="auto"/>
      </w:divBdr>
    </w:div>
    <w:div w:id="970744811">
      <w:bodyDiv w:val="1"/>
      <w:marLeft w:val="0"/>
      <w:marRight w:val="0"/>
      <w:marTop w:val="0"/>
      <w:marBottom w:val="0"/>
      <w:divBdr>
        <w:top w:val="none" w:sz="0" w:space="0" w:color="auto"/>
        <w:left w:val="none" w:sz="0" w:space="0" w:color="auto"/>
        <w:bottom w:val="none" w:sz="0" w:space="0" w:color="auto"/>
        <w:right w:val="none" w:sz="0" w:space="0" w:color="auto"/>
      </w:divBdr>
    </w:div>
    <w:div w:id="996305466">
      <w:bodyDiv w:val="1"/>
      <w:marLeft w:val="0"/>
      <w:marRight w:val="0"/>
      <w:marTop w:val="0"/>
      <w:marBottom w:val="0"/>
      <w:divBdr>
        <w:top w:val="none" w:sz="0" w:space="0" w:color="auto"/>
        <w:left w:val="none" w:sz="0" w:space="0" w:color="auto"/>
        <w:bottom w:val="none" w:sz="0" w:space="0" w:color="auto"/>
        <w:right w:val="none" w:sz="0" w:space="0" w:color="auto"/>
      </w:divBdr>
    </w:div>
    <w:div w:id="1014185525">
      <w:bodyDiv w:val="1"/>
      <w:marLeft w:val="0"/>
      <w:marRight w:val="0"/>
      <w:marTop w:val="0"/>
      <w:marBottom w:val="0"/>
      <w:divBdr>
        <w:top w:val="none" w:sz="0" w:space="0" w:color="auto"/>
        <w:left w:val="none" w:sz="0" w:space="0" w:color="auto"/>
        <w:bottom w:val="none" w:sz="0" w:space="0" w:color="auto"/>
        <w:right w:val="none" w:sz="0" w:space="0" w:color="auto"/>
      </w:divBdr>
    </w:div>
    <w:div w:id="1040934748">
      <w:bodyDiv w:val="1"/>
      <w:marLeft w:val="0"/>
      <w:marRight w:val="0"/>
      <w:marTop w:val="0"/>
      <w:marBottom w:val="0"/>
      <w:divBdr>
        <w:top w:val="none" w:sz="0" w:space="0" w:color="auto"/>
        <w:left w:val="none" w:sz="0" w:space="0" w:color="auto"/>
        <w:bottom w:val="none" w:sz="0" w:space="0" w:color="auto"/>
        <w:right w:val="none" w:sz="0" w:space="0" w:color="auto"/>
      </w:divBdr>
    </w:div>
    <w:div w:id="1056779355">
      <w:bodyDiv w:val="1"/>
      <w:marLeft w:val="0"/>
      <w:marRight w:val="0"/>
      <w:marTop w:val="0"/>
      <w:marBottom w:val="0"/>
      <w:divBdr>
        <w:top w:val="none" w:sz="0" w:space="0" w:color="auto"/>
        <w:left w:val="none" w:sz="0" w:space="0" w:color="auto"/>
        <w:bottom w:val="none" w:sz="0" w:space="0" w:color="auto"/>
        <w:right w:val="none" w:sz="0" w:space="0" w:color="auto"/>
      </w:divBdr>
    </w:div>
    <w:div w:id="1066419619">
      <w:bodyDiv w:val="1"/>
      <w:marLeft w:val="0"/>
      <w:marRight w:val="0"/>
      <w:marTop w:val="0"/>
      <w:marBottom w:val="0"/>
      <w:divBdr>
        <w:top w:val="none" w:sz="0" w:space="0" w:color="auto"/>
        <w:left w:val="none" w:sz="0" w:space="0" w:color="auto"/>
        <w:bottom w:val="none" w:sz="0" w:space="0" w:color="auto"/>
        <w:right w:val="none" w:sz="0" w:space="0" w:color="auto"/>
      </w:divBdr>
    </w:div>
    <w:div w:id="1066759023">
      <w:bodyDiv w:val="1"/>
      <w:marLeft w:val="0"/>
      <w:marRight w:val="0"/>
      <w:marTop w:val="0"/>
      <w:marBottom w:val="0"/>
      <w:divBdr>
        <w:top w:val="none" w:sz="0" w:space="0" w:color="auto"/>
        <w:left w:val="none" w:sz="0" w:space="0" w:color="auto"/>
        <w:bottom w:val="none" w:sz="0" w:space="0" w:color="auto"/>
        <w:right w:val="none" w:sz="0" w:space="0" w:color="auto"/>
      </w:divBdr>
    </w:div>
    <w:div w:id="1070612976">
      <w:bodyDiv w:val="1"/>
      <w:marLeft w:val="0"/>
      <w:marRight w:val="0"/>
      <w:marTop w:val="0"/>
      <w:marBottom w:val="0"/>
      <w:divBdr>
        <w:top w:val="none" w:sz="0" w:space="0" w:color="auto"/>
        <w:left w:val="none" w:sz="0" w:space="0" w:color="auto"/>
        <w:bottom w:val="none" w:sz="0" w:space="0" w:color="auto"/>
        <w:right w:val="none" w:sz="0" w:space="0" w:color="auto"/>
      </w:divBdr>
      <w:divsChild>
        <w:div w:id="1593467893">
          <w:marLeft w:val="0"/>
          <w:marRight w:val="0"/>
          <w:marTop w:val="0"/>
          <w:marBottom w:val="0"/>
          <w:divBdr>
            <w:top w:val="none" w:sz="0" w:space="0" w:color="auto"/>
            <w:left w:val="none" w:sz="0" w:space="0" w:color="auto"/>
            <w:bottom w:val="none" w:sz="0" w:space="0" w:color="auto"/>
            <w:right w:val="none" w:sz="0" w:space="0" w:color="auto"/>
          </w:divBdr>
        </w:div>
        <w:div w:id="71857045">
          <w:marLeft w:val="0"/>
          <w:marRight w:val="0"/>
          <w:marTop w:val="0"/>
          <w:marBottom w:val="0"/>
          <w:divBdr>
            <w:top w:val="none" w:sz="0" w:space="0" w:color="auto"/>
            <w:left w:val="none" w:sz="0" w:space="0" w:color="auto"/>
            <w:bottom w:val="none" w:sz="0" w:space="0" w:color="auto"/>
            <w:right w:val="none" w:sz="0" w:space="0" w:color="auto"/>
          </w:divBdr>
        </w:div>
      </w:divsChild>
    </w:div>
    <w:div w:id="1085036323">
      <w:bodyDiv w:val="1"/>
      <w:marLeft w:val="0"/>
      <w:marRight w:val="0"/>
      <w:marTop w:val="0"/>
      <w:marBottom w:val="0"/>
      <w:divBdr>
        <w:top w:val="none" w:sz="0" w:space="0" w:color="auto"/>
        <w:left w:val="none" w:sz="0" w:space="0" w:color="auto"/>
        <w:bottom w:val="none" w:sz="0" w:space="0" w:color="auto"/>
        <w:right w:val="none" w:sz="0" w:space="0" w:color="auto"/>
      </w:divBdr>
    </w:div>
    <w:div w:id="1090277027">
      <w:bodyDiv w:val="1"/>
      <w:marLeft w:val="0"/>
      <w:marRight w:val="0"/>
      <w:marTop w:val="0"/>
      <w:marBottom w:val="0"/>
      <w:divBdr>
        <w:top w:val="none" w:sz="0" w:space="0" w:color="auto"/>
        <w:left w:val="none" w:sz="0" w:space="0" w:color="auto"/>
        <w:bottom w:val="none" w:sz="0" w:space="0" w:color="auto"/>
        <w:right w:val="none" w:sz="0" w:space="0" w:color="auto"/>
      </w:divBdr>
    </w:div>
    <w:div w:id="1100299136">
      <w:bodyDiv w:val="1"/>
      <w:marLeft w:val="0"/>
      <w:marRight w:val="0"/>
      <w:marTop w:val="0"/>
      <w:marBottom w:val="0"/>
      <w:divBdr>
        <w:top w:val="none" w:sz="0" w:space="0" w:color="auto"/>
        <w:left w:val="none" w:sz="0" w:space="0" w:color="auto"/>
        <w:bottom w:val="none" w:sz="0" w:space="0" w:color="auto"/>
        <w:right w:val="none" w:sz="0" w:space="0" w:color="auto"/>
      </w:divBdr>
    </w:div>
    <w:div w:id="1147627234">
      <w:bodyDiv w:val="1"/>
      <w:marLeft w:val="0"/>
      <w:marRight w:val="0"/>
      <w:marTop w:val="0"/>
      <w:marBottom w:val="0"/>
      <w:divBdr>
        <w:top w:val="none" w:sz="0" w:space="0" w:color="auto"/>
        <w:left w:val="none" w:sz="0" w:space="0" w:color="auto"/>
        <w:bottom w:val="none" w:sz="0" w:space="0" w:color="auto"/>
        <w:right w:val="none" w:sz="0" w:space="0" w:color="auto"/>
      </w:divBdr>
    </w:div>
    <w:div w:id="1189179282">
      <w:bodyDiv w:val="1"/>
      <w:marLeft w:val="0"/>
      <w:marRight w:val="0"/>
      <w:marTop w:val="0"/>
      <w:marBottom w:val="0"/>
      <w:divBdr>
        <w:top w:val="none" w:sz="0" w:space="0" w:color="auto"/>
        <w:left w:val="none" w:sz="0" w:space="0" w:color="auto"/>
        <w:bottom w:val="none" w:sz="0" w:space="0" w:color="auto"/>
        <w:right w:val="none" w:sz="0" w:space="0" w:color="auto"/>
      </w:divBdr>
    </w:div>
    <w:div w:id="1207789879">
      <w:bodyDiv w:val="1"/>
      <w:marLeft w:val="0"/>
      <w:marRight w:val="0"/>
      <w:marTop w:val="0"/>
      <w:marBottom w:val="0"/>
      <w:divBdr>
        <w:top w:val="none" w:sz="0" w:space="0" w:color="auto"/>
        <w:left w:val="none" w:sz="0" w:space="0" w:color="auto"/>
        <w:bottom w:val="none" w:sz="0" w:space="0" w:color="auto"/>
        <w:right w:val="none" w:sz="0" w:space="0" w:color="auto"/>
      </w:divBdr>
    </w:div>
    <w:div w:id="1215852035">
      <w:bodyDiv w:val="1"/>
      <w:marLeft w:val="0"/>
      <w:marRight w:val="0"/>
      <w:marTop w:val="0"/>
      <w:marBottom w:val="0"/>
      <w:divBdr>
        <w:top w:val="none" w:sz="0" w:space="0" w:color="auto"/>
        <w:left w:val="none" w:sz="0" w:space="0" w:color="auto"/>
        <w:bottom w:val="none" w:sz="0" w:space="0" w:color="auto"/>
        <w:right w:val="none" w:sz="0" w:space="0" w:color="auto"/>
      </w:divBdr>
    </w:div>
    <w:div w:id="1220557401">
      <w:bodyDiv w:val="1"/>
      <w:marLeft w:val="0"/>
      <w:marRight w:val="0"/>
      <w:marTop w:val="0"/>
      <w:marBottom w:val="0"/>
      <w:divBdr>
        <w:top w:val="none" w:sz="0" w:space="0" w:color="auto"/>
        <w:left w:val="none" w:sz="0" w:space="0" w:color="auto"/>
        <w:bottom w:val="none" w:sz="0" w:space="0" w:color="auto"/>
        <w:right w:val="none" w:sz="0" w:space="0" w:color="auto"/>
      </w:divBdr>
    </w:div>
    <w:div w:id="1231888140">
      <w:bodyDiv w:val="1"/>
      <w:marLeft w:val="0"/>
      <w:marRight w:val="0"/>
      <w:marTop w:val="0"/>
      <w:marBottom w:val="0"/>
      <w:divBdr>
        <w:top w:val="none" w:sz="0" w:space="0" w:color="auto"/>
        <w:left w:val="none" w:sz="0" w:space="0" w:color="auto"/>
        <w:bottom w:val="none" w:sz="0" w:space="0" w:color="auto"/>
        <w:right w:val="none" w:sz="0" w:space="0" w:color="auto"/>
      </w:divBdr>
    </w:div>
    <w:div w:id="1243955860">
      <w:bodyDiv w:val="1"/>
      <w:marLeft w:val="0"/>
      <w:marRight w:val="0"/>
      <w:marTop w:val="0"/>
      <w:marBottom w:val="0"/>
      <w:divBdr>
        <w:top w:val="none" w:sz="0" w:space="0" w:color="auto"/>
        <w:left w:val="none" w:sz="0" w:space="0" w:color="auto"/>
        <w:bottom w:val="none" w:sz="0" w:space="0" w:color="auto"/>
        <w:right w:val="none" w:sz="0" w:space="0" w:color="auto"/>
      </w:divBdr>
    </w:div>
    <w:div w:id="1260723667">
      <w:bodyDiv w:val="1"/>
      <w:marLeft w:val="0"/>
      <w:marRight w:val="0"/>
      <w:marTop w:val="0"/>
      <w:marBottom w:val="0"/>
      <w:divBdr>
        <w:top w:val="none" w:sz="0" w:space="0" w:color="auto"/>
        <w:left w:val="none" w:sz="0" w:space="0" w:color="auto"/>
        <w:bottom w:val="none" w:sz="0" w:space="0" w:color="auto"/>
        <w:right w:val="none" w:sz="0" w:space="0" w:color="auto"/>
      </w:divBdr>
    </w:div>
    <w:div w:id="1280990309">
      <w:bodyDiv w:val="1"/>
      <w:marLeft w:val="0"/>
      <w:marRight w:val="0"/>
      <w:marTop w:val="0"/>
      <w:marBottom w:val="0"/>
      <w:divBdr>
        <w:top w:val="none" w:sz="0" w:space="0" w:color="auto"/>
        <w:left w:val="none" w:sz="0" w:space="0" w:color="auto"/>
        <w:bottom w:val="none" w:sz="0" w:space="0" w:color="auto"/>
        <w:right w:val="none" w:sz="0" w:space="0" w:color="auto"/>
      </w:divBdr>
      <w:divsChild>
        <w:div w:id="191773787">
          <w:marLeft w:val="0"/>
          <w:marRight w:val="0"/>
          <w:marTop w:val="0"/>
          <w:marBottom w:val="0"/>
          <w:divBdr>
            <w:top w:val="none" w:sz="0" w:space="0" w:color="auto"/>
            <w:left w:val="none" w:sz="0" w:space="0" w:color="auto"/>
            <w:bottom w:val="none" w:sz="0" w:space="0" w:color="auto"/>
            <w:right w:val="none" w:sz="0" w:space="0" w:color="auto"/>
          </w:divBdr>
        </w:div>
        <w:div w:id="25107590">
          <w:marLeft w:val="0"/>
          <w:marRight w:val="0"/>
          <w:marTop w:val="0"/>
          <w:marBottom w:val="0"/>
          <w:divBdr>
            <w:top w:val="none" w:sz="0" w:space="0" w:color="auto"/>
            <w:left w:val="none" w:sz="0" w:space="0" w:color="auto"/>
            <w:bottom w:val="none" w:sz="0" w:space="0" w:color="auto"/>
            <w:right w:val="none" w:sz="0" w:space="0" w:color="auto"/>
          </w:divBdr>
        </w:div>
      </w:divsChild>
    </w:div>
    <w:div w:id="1294212765">
      <w:bodyDiv w:val="1"/>
      <w:marLeft w:val="0"/>
      <w:marRight w:val="0"/>
      <w:marTop w:val="0"/>
      <w:marBottom w:val="0"/>
      <w:divBdr>
        <w:top w:val="none" w:sz="0" w:space="0" w:color="auto"/>
        <w:left w:val="none" w:sz="0" w:space="0" w:color="auto"/>
        <w:bottom w:val="none" w:sz="0" w:space="0" w:color="auto"/>
        <w:right w:val="none" w:sz="0" w:space="0" w:color="auto"/>
      </w:divBdr>
      <w:divsChild>
        <w:div w:id="2095929952">
          <w:marLeft w:val="0"/>
          <w:marRight w:val="0"/>
          <w:marTop w:val="0"/>
          <w:marBottom w:val="0"/>
          <w:divBdr>
            <w:top w:val="none" w:sz="0" w:space="0" w:color="auto"/>
            <w:left w:val="none" w:sz="0" w:space="0" w:color="auto"/>
            <w:bottom w:val="none" w:sz="0" w:space="0" w:color="auto"/>
            <w:right w:val="none" w:sz="0" w:space="0" w:color="auto"/>
          </w:divBdr>
        </w:div>
        <w:div w:id="1648586848">
          <w:marLeft w:val="0"/>
          <w:marRight w:val="0"/>
          <w:marTop w:val="0"/>
          <w:marBottom w:val="0"/>
          <w:divBdr>
            <w:top w:val="none" w:sz="0" w:space="0" w:color="auto"/>
            <w:left w:val="none" w:sz="0" w:space="0" w:color="auto"/>
            <w:bottom w:val="none" w:sz="0" w:space="0" w:color="auto"/>
            <w:right w:val="none" w:sz="0" w:space="0" w:color="auto"/>
          </w:divBdr>
        </w:div>
      </w:divsChild>
    </w:div>
    <w:div w:id="1364941888">
      <w:bodyDiv w:val="1"/>
      <w:marLeft w:val="0"/>
      <w:marRight w:val="0"/>
      <w:marTop w:val="0"/>
      <w:marBottom w:val="0"/>
      <w:divBdr>
        <w:top w:val="none" w:sz="0" w:space="0" w:color="auto"/>
        <w:left w:val="none" w:sz="0" w:space="0" w:color="auto"/>
        <w:bottom w:val="none" w:sz="0" w:space="0" w:color="auto"/>
        <w:right w:val="none" w:sz="0" w:space="0" w:color="auto"/>
      </w:divBdr>
    </w:div>
    <w:div w:id="1424641111">
      <w:bodyDiv w:val="1"/>
      <w:marLeft w:val="0"/>
      <w:marRight w:val="0"/>
      <w:marTop w:val="0"/>
      <w:marBottom w:val="0"/>
      <w:divBdr>
        <w:top w:val="none" w:sz="0" w:space="0" w:color="auto"/>
        <w:left w:val="none" w:sz="0" w:space="0" w:color="auto"/>
        <w:bottom w:val="none" w:sz="0" w:space="0" w:color="auto"/>
        <w:right w:val="none" w:sz="0" w:space="0" w:color="auto"/>
      </w:divBdr>
    </w:div>
    <w:div w:id="1448498900">
      <w:bodyDiv w:val="1"/>
      <w:marLeft w:val="0"/>
      <w:marRight w:val="0"/>
      <w:marTop w:val="0"/>
      <w:marBottom w:val="0"/>
      <w:divBdr>
        <w:top w:val="none" w:sz="0" w:space="0" w:color="auto"/>
        <w:left w:val="none" w:sz="0" w:space="0" w:color="auto"/>
        <w:bottom w:val="none" w:sz="0" w:space="0" w:color="auto"/>
        <w:right w:val="none" w:sz="0" w:space="0" w:color="auto"/>
      </w:divBdr>
    </w:div>
    <w:div w:id="1481769251">
      <w:bodyDiv w:val="1"/>
      <w:marLeft w:val="0"/>
      <w:marRight w:val="0"/>
      <w:marTop w:val="0"/>
      <w:marBottom w:val="0"/>
      <w:divBdr>
        <w:top w:val="none" w:sz="0" w:space="0" w:color="auto"/>
        <w:left w:val="none" w:sz="0" w:space="0" w:color="auto"/>
        <w:bottom w:val="none" w:sz="0" w:space="0" w:color="auto"/>
        <w:right w:val="none" w:sz="0" w:space="0" w:color="auto"/>
      </w:divBdr>
    </w:div>
    <w:div w:id="1493837950">
      <w:bodyDiv w:val="1"/>
      <w:marLeft w:val="0"/>
      <w:marRight w:val="0"/>
      <w:marTop w:val="0"/>
      <w:marBottom w:val="0"/>
      <w:divBdr>
        <w:top w:val="none" w:sz="0" w:space="0" w:color="auto"/>
        <w:left w:val="none" w:sz="0" w:space="0" w:color="auto"/>
        <w:bottom w:val="none" w:sz="0" w:space="0" w:color="auto"/>
        <w:right w:val="none" w:sz="0" w:space="0" w:color="auto"/>
      </w:divBdr>
    </w:div>
    <w:div w:id="1515726533">
      <w:bodyDiv w:val="1"/>
      <w:marLeft w:val="0"/>
      <w:marRight w:val="0"/>
      <w:marTop w:val="0"/>
      <w:marBottom w:val="0"/>
      <w:divBdr>
        <w:top w:val="none" w:sz="0" w:space="0" w:color="auto"/>
        <w:left w:val="none" w:sz="0" w:space="0" w:color="auto"/>
        <w:bottom w:val="none" w:sz="0" w:space="0" w:color="auto"/>
        <w:right w:val="none" w:sz="0" w:space="0" w:color="auto"/>
      </w:divBdr>
    </w:div>
    <w:div w:id="1530683988">
      <w:bodyDiv w:val="1"/>
      <w:marLeft w:val="0"/>
      <w:marRight w:val="0"/>
      <w:marTop w:val="0"/>
      <w:marBottom w:val="0"/>
      <w:divBdr>
        <w:top w:val="none" w:sz="0" w:space="0" w:color="auto"/>
        <w:left w:val="none" w:sz="0" w:space="0" w:color="auto"/>
        <w:bottom w:val="none" w:sz="0" w:space="0" w:color="auto"/>
        <w:right w:val="none" w:sz="0" w:space="0" w:color="auto"/>
      </w:divBdr>
    </w:div>
    <w:div w:id="1567492416">
      <w:bodyDiv w:val="1"/>
      <w:marLeft w:val="0"/>
      <w:marRight w:val="0"/>
      <w:marTop w:val="0"/>
      <w:marBottom w:val="0"/>
      <w:divBdr>
        <w:top w:val="none" w:sz="0" w:space="0" w:color="auto"/>
        <w:left w:val="none" w:sz="0" w:space="0" w:color="auto"/>
        <w:bottom w:val="none" w:sz="0" w:space="0" w:color="auto"/>
        <w:right w:val="none" w:sz="0" w:space="0" w:color="auto"/>
      </w:divBdr>
    </w:div>
    <w:div w:id="1579709076">
      <w:bodyDiv w:val="1"/>
      <w:marLeft w:val="0"/>
      <w:marRight w:val="0"/>
      <w:marTop w:val="0"/>
      <w:marBottom w:val="0"/>
      <w:divBdr>
        <w:top w:val="none" w:sz="0" w:space="0" w:color="auto"/>
        <w:left w:val="none" w:sz="0" w:space="0" w:color="auto"/>
        <w:bottom w:val="none" w:sz="0" w:space="0" w:color="auto"/>
        <w:right w:val="none" w:sz="0" w:space="0" w:color="auto"/>
      </w:divBdr>
    </w:div>
    <w:div w:id="1583221093">
      <w:bodyDiv w:val="1"/>
      <w:marLeft w:val="0"/>
      <w:marRight w:val="0"/>
      <w:marTop w:val="0"/>
      <w:marBottom w:val="0"/>
      <w:divBdr>
        <w:top w:val="none" w:sz="0" w:space="0" w:color="auto"/>
        <w:left w:val="none" w:sz="0" w:space="0" w:color="auto"/>
        <w:bottom w:val="none" w:sz="0" w:space="0" w:color="auto"/>
        <w:right w:val="none" w:sz="0" w:space="0" w:color="auto"/>
      </w:divBdr>
      <w:divsChild>
        <w:div w:id="636225284">
          <w:marLeft w:val="0"/>
          <w:marRight w:val="0"/>
          <w:marTop w:val="0"/>
          <w:marBottom w:val="0"/>
          <w:divBdr>
            <w:top w:val="none" w:sz="0" w:space="0" w:color="auto"/>
            <w:left w:val="none" w:sz="0" w:space="0" w:color="auto"/>
            <w:bottom w:val="none" w:sz="0" w:space="0" w:color="auto"/>
            <w:right w:val="none" w:sz="0" w:space="0" w:color="auto"/>
          </w:divBdr>
        </w:div>
        <w:div w:id="1841460398">
          <w:marLeft w:val="0"/>
          <w:marRight w:val="0"/>
          <w:marTop w:val="0"/>
          <w:marBottom w:val="0"/>
          <w:divBdr>
            <w:top w:val="none" w:sz="0" w:space="0" w:color="auto"/>
            <w:left w:val="none" w:sz="0" w:space="0" w:color="auto"/>
            <w:bottom w:val="none" w:sz="0" w:space="0" w:color="auto"/>
            <w:right w:val="none" w:sz="0" w:space="0" w:color="auto"/>
          </w:divBdr>
        </w:div>
      </w:divsChild>
    </w:div>
    <w:div w:id="1584686277">
      <w:bodyDiv w:val="1"/>
      <w:marLeft w:val="0"/>
      <w:marRight w:val="0"/>
      <w:marTop w:val="0"/>
      <w:marBottom w:val="0"/>
      <w:divBdr>
        <w:top w:val="none" w:sz="0" w:space="0" w:color="auto"/>
        <w:left w:val="none" w:sz="0" w:space="0" w:color="auto"/>
        <w:bottom w:val="none" w:sz="0" w:space="0" w:color="auto"/>
        <w:right w:val="none" w:sz="0" w:space="0" w:color="auto"/>
      </w:divBdr>
      <w:divsChild>
        <w:div w:id="85806625">
          <w:marLeft w:val="0"/>
          <w:marRight w:val="0"/>
          <w:marTop w:val="0"/>
          <w:marBottom w:val="0"/>
          <w:divBdr>
            <w:top w:val="none" w:sz="0" w:space="0" w:color="auto"/>
            <w:left w:val="none" w:sz="0" w:space="0" w:color="auto"/>
            <w:bottom w:val="none" w:sz="0" w:space="0" w:color="auto"/>
            <w:right w:val="none" w:sz="0" w:space="0" w:color="auto"/>
          </w:divBdr>
        </w:div>
        <w:div w:id="210193723">
          <w:marLeft w:val="0"/>
          <w:marRight w:val="0"/>
          <w:marTop w:val="0"/>
          <w:marBottom w:val="0"/>
          <w:divBdr>
            <w:top w:val="none" w:sz="0" w:space="0" w:color="auto"/>
            <w:left w:val="none" w:sz="0" w:space="0" w:color="auto"/>
            <w:bottom w:val="none" w:sz="0" w:space="0" w:color="auto"/>
            <w:right w:val="none" w:sz="0" w:space="0" w:color="auto"/>
          </w:divBdr>
        </w:div>
      </w:divsChild>
    </w:div>
    <w:div w:id="1623422225">
      <w:bodyDiv w:val="1"/>
      <w:marLeft w:val="0"/>
      <w:marRight w:val="0"/>
      <w:marTop w:val="0"/>
      <w:marBottom w:val="0"/>
      <w:divBdr>
        <w:top w:val="none" w:sz="0" w:space="0" w:color="auto"/>
        <w:left w:val="none" w:sz="0" w:space="0" w:color="auto"/>
        <w:bottom w:val="none" w:sz="0" w:space="0" w:color="auto"/>
        <w:right w:val="none" w:sz="0" w:space="0" w:color="auto"/>
      </w:divBdr>
    </w:div>
    <w:div w:id="1656956560">
      <w:bodyDiv w:val="1"/>
      <w:marLeft w:val="0"/>
      <w:marRight w:val="0"/>
      <w:marTop w:val="0"/>
      <w:marBottom w:val="0"/>
      <w:divBdr>
        <w:top w:val="none" w:sz="0" w:space="0" w:color="auto"/>
        <w:left w:val="none" w:sz="0" w:space="0" w:color="auto"/>
        <w:bottom w:val="none" w:sz="0" w:space="0" w:color="auto"/>
        <w:right w:val="none" w:sz="0" w:space="0" w:color="auto"/>
      </w:divBdr>
    </w:div>
    <w:div w:id="1666588569">
      <w:bodyDiv w:val="1"/>
      <w:marLeft w:val="0"/>
      <w:marRight w:val="0"/>
      <w:marTop w:val="0"/>
      <w:marBottom w:val="0"/>
      <w:divBdr>
        <w:top w:val="none" w:sz="0" w:space="0" w:color="auto"/>
        <w:left w:val="none" w:sz="0" w:space="0" w:color="auto"/>
        <w:bottom w:val="none" w:sz="0" w:space="0" w:color="auto"/>
        <w:right w:val="none" w:sz="0" w:space="0" w:color="auto"/>
      </w:divBdr>
    </w:div>
    <w:div w:id="1692416526">
      <w:bodyDiv w:val="1"/>
      <w:marLeft w:val="0"/>
      <w:marRight w:val="0"/>
      <w:marTop w:val="0"/>
      <w:marBottom w:val="0"/>
      <w:divBdr>
        <w:top w:val="none" w:sz="0" w:space="0" w:color="auto"/>
        <w:left w:val="none" w:sz="0" w:space="0" w:color="auto"/>
        <w:bottom w:val="none" w:sz="0" w:space="0" w:color="auto"/>
        <w:right w:val="none" w:sz="0" w:space="0" w:color="auto"/>
      </w:divBdr>
    </w:div>
    <w:div w:id="1693065097">
      <w:bodyDiv w:val="1"/>
      <w:marLeft w:val="0"/>
      <w:marRight w:val="0"/>
      <w:marTop w:val="0"/>
      <w:marBottom w:val="0"/>
      <w:divBdr>
        <w:top w:val="none" w:sz="0" w:space="0" w:color="auto"/>
        <w:left w:val="none" w:sz="0" w:space="0" w:color="auto"/>
        <w:bottom w:val="none" w:sz="0" w:space="0" w:color="auto"/>
        <w:right w:val="none" w:sz="0" w:space="0" w:color="auto"/>
      </w:divBdr>
    </w:div>
    <w:div w:id="1693725094">
      <w:bodyDiv w:val="1"/>
      <w:marLeft w:val="0"/>
      <w:marRight w:val="0"/>
      <w:marTop w:val="0"/>
      <w:marBottom w:val="0"/>
      <w:divBdr>
        <w:top w:val="none" w:sz="0" w:space="0" w:color="auto"/>
        <w:left w:val="none" w:sz="0" w:space="0" w:color="auto"/>
        <w:bottom w:val="none" w:sz="0" w:space="0" w:color="auto"/>
        <w:right w:val="none" w:sz="0" w:space="0" w:color="auto"/>
      </w:divBdr>
    </w:div>
    <w:div w:id="1708799686">
      <w:bodyDiv w:val="1"/>
      <w:marLeft w:val="0"/>
      <w:marRight w:val="0"/>
      <w:marTop w:val="0"/>
      <w:marBottom w:val="0"/>
      <w:divBdr>
        <w:top w:val="none" w:sz="0" w:space="0" w:color="auto"/>
        <w:left w:val="none" w:sz="0" w:space="0" w:color="auto"/>
        <w:bottom w:val="none" w:sz="0" w:space="0" w:color="auto"/>
        <w:right w:val="none" w:sz="0" w:space="0" w:color="auto"/>
      </w:divBdr>
    </w:div>
    <w:div w:id="1746955953">
      <w:bodyDiv w:val="1"/>
      <w:marLeft w:val="0"/>
      <w:marRight w:val="0"/>
      <w:marTop w:val="0"/>
      <w:marBottom w:val="0"/>
      <w:divBdr>
        <w:top w:val="none" w:sz="0" w:space="0" w:color="auto"/>
        <w:left w:val="none" w:sz="0" w:space="0" w:color="auto"/>
        <w:bottom w:val="none" w:sz="0" w:space="0" w:color="auto"/>
        <w:right w:val="none" w:sz="0" w:space="0" w:color="auto"/>
      </w:divBdr>
    </w:div>
    <w:div w:id="1776168042">
      <w:bodyDiv w:val="1"/>
      <w:marLeft w:val="0"/>
      <w:marRight w:val="0"/>
      <w:marTop w:val="0"/>
      <w:marBottom w:val="0"/>
      <w:divBdr>
        <w:top w:val="none" w:sz="0" w:space="0" w:color="auto"/>
        <w:left w:val="none" w:sz="0" w:space="0" w:color="auto"/>
        <w:bottom w:val="none" w:sz="0" w:space="0" w:color="auto"/>
        <w:right w:val="none" w:sz="0" w:space="0" w:color="auto"/>
      </w:divBdr>
    </w:div>
    <w:div w:id="1859613245">
      <w:bodyDiv w:val="1"/>
      <w:marLeft w:val="0"/>
      <w:marRight w:val="0"/>
      <w:marTop w:val="0"/>
      <w:marBottom w:val="0"/>
      <w:divBdr>
        <w:top w:val="none" w:sz="0" w:space="0" w:color="auto"/>
        <w:left w:val="none" w:sz="0" w:space="0" w:color="auto"/>
        <w:bottom w:val="none" w:sz="0" w:space="0" w:color="auto"/>
        <w:right w:val="none" w:sz="0" w:space="0" w:color="auto"/>
      </w:divBdr>
    </w:div>
    <w:div w:id="1869220721">
      <w:bodyDiv w:val="1"/>
      <w:marLeft w:val="0"/>
      <w:marRight w:val="0"/>
      <w:marTop w:val="0"/>
      <w:marBottom w:val="0"/>
      <w:divBdr>
        <w:top w:val="none" w:sz="0" w:space="0" w:color="auto"/>
        <w:left w:val="none" w:sz="0" w:space="0" w:color="auto"/>
        <w:bottom w:val="none" w:sz="0" w:space="0" w:color="auto"/>
        <w:right w:val="none" w:sz="0" w:space="0" w:color="auto"/>
      </w:divBdr>
    </w:div>
    <w:div w:id="1870796764">
      <w:bodyDiv w:val="1"/>
      <w:marLeft w:val="0"/>
      <w:marRight w:val="0"/>
      <w:marTop w:val="0"/>
      <w:marBottom w:val="0"/>
      <w:divBdr>
        <w:top w:val="none" w:sz="0" w:space="0" w:color="auto"/>
        <w:left w:val="none" w:sz="0" w:space="0" w:color="auto"/>
        <w:bottom w:val="none" w:sz="0" w:space="0" w:color="auto"/>
        <w:right w:val="none" w:sz="0" w:space="0" w:color="auto"/>
      </w:divBdr>
    </w:div>
    <w:div w:id="1934314011">
      <w:bodyDiv w:val="1"/>
      <w:marLeft w:val="0"/>
      <w:marRight w:val="0"/>
      <w:marTop w:val="0"/>
      <w:marBottom w:val="0"/>
      <w:divBdr>
        <w:top w:val="none" w:sz="0" w:space="0" w:color="auto"/>
        <w:left w:val="none" w:sz="0" w:space="0" w:color="auto"/>
        <w:bottom w:val="none" w:sz="0" w:space="0" w:color="auto"/>
        <w:right w:val="none" w:sz="0" w:space="0" w:color="auto"/>
      </w:divBdr>
    </w:div>
    <w:div w:id="2030141004">
      <w:bodyDiv w:val="1"/>
      <w:marLeft w:val="0"/>
      <w:marRight w:val="0"/>
      <w:marTop w:val="0"/>
      <w:marBottom w:val="0"/>
      <w:divBdr>
        <w:top w:val="none" w:sz="0" w:space="0" w:color="auto"/>
        <w:left w:val="none" w:sz="0" w:space="0" w:color="auto"/>
        <w:bottom w:val="none" w:sz="0" w:space="0" w:color="auto"/>
        <w:right w:val="none" w:sz="0" w:space="0" w:color="auto"/>
      </w:divBdr>
    </w:div>
    <w:div w:id="2041465595">
      <w:bodyDiv w:val="1"/>
      <w:marLeft w:val="0"/>
      <w:marRight w:val="0"/>
      <w:marTop w:val="0"/>
      <w:marBottom w:val="0"/>
      <w:divBdr>
        <w:top w:val="none" w:sz="0" w:space="0" w:color="auto"/>
        <w:left w:val="none" w:sz="0" w:space="0" w:color="auto"/>
        <w:bottom w:val="none" w:sz="0" w:space="0" w:color="auto"/>
        <w:right w:val="none" w:sz="0" w:space="0" w:color="auto"/>
      </w:divBdr>
    </w:div>
    <w:div w:id="2099859570">
      <w:bodyDiv w:val="1"/>
      <w:marLeft w:val="0"/>
      <w:marRight w:val="0"/>
      <w:marTop w:val="0"/>
      <w:marBottom w:val="0"/>
      <w:divBdr>
        <w:top w:val="none" w:sz="0" w:space="0" w:color="auto"/>
        <w:left w:val="none" w:sz="0" w:space="0" w:color="auto"/>
        <w:bottom w:val="none" w:sz="0" w:space="0" w:color="auto"/>
        <w:right w:val="none" w:sz="0" w:space="0" w:color="auto"/>
      </w:divBdr>
      <w:divsChild>
        <w:div w:id="1278365681">
          <w:marLeft w:val="0"/>
          <w:marRight w:val="0"/>
          <w:marTop w:val="0"/>
          <w:marBottom w:val="0"/>
          <w:divBdr>
            <w:top w:val="none" w:sz="0" w:space="0" w:color="auto"/>
            <w:left w:val="none" w:sz="0" w:space="0" w:color="auto"/>
            <w:bottom w:val="none" w:sz="0" w:space="0" w:color="auto"/>
            <w:right w:val="none" w:sz="0" w:space="0" w:color="auto"/>
          </w:divBdr>
        </w:div>
        <w:div w:id="2087148567">
          <w:marLeft w:val="0"/>
          <w:marRight w:val="0"/>
          <w:marTop w:val="0"/>
          <w:marBottom w:val="0"/>
          <w:divBdr>
            <w:top w:val="none" w:sz="0" w:space="0" w:color="auto"/>
            <w:left w:val="none" w:sz="0" w:space="0" w:color="auto"/>
            <w:bottom w:val="none" w:sz="0" w:space="0" w:color="auto"/>
            <w:right w:val="none" w:sz="0" w:space="0" w:color="auto"/>
          </w:divBdr>
        </w:div>
      </w:divsChild>
    </w:div>
    <w:div w:id="2102145382">
      <w:bodyDiv w:val="1"/>
      <w:marLeft w:val="0"/>
      <w:marRight w:val="0"/>
      <w:marTop w:val="0"/>
      <w:marBottom w:val="0"/>
      <w:divBdr>
        <w:top w:val="none" w:sz="0" w:space="0" w:color="auto"/>
        <w:left w:val="none" w:sz="0" w:space="0" w:color="auto"/>
        <w:bottom w:val="none" w:sz="0" w:space="0" w:color="auto"/>
        <w:right w:val="none" w:sz="0" w:space="0" w:color="auto"/>
      </w:divBdr>
    </w:div>
    <w:div w:id="211512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jep.gov.co/Infografas/conozcalajep.pdf" TargetMode="External"/><Relationship Id="rId1" Type="http://schemas.openxmlformats.org/officeDocument/2006/relationships/hyperlink" Target="https://www.jep.gov.co/Paginas/Transparencia/Talento/Organigram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462182257C4CC2B28A313A61B8FF45"/>
        <w:category>
          <w:name w:val="General"/>
          <w:gallery w:val="placeholder"/>
        </w:category>
        <w:types>
          <w:type w:val="bbPlcHdr"/>
        </w:types>
        <w:behaviors>
          <w:behavior w:val="content"/>
        </w:behaviors>
        <w:guid w:val="{B9091B39-BC4E-4F6A-9515-A469EE297098}"/>
      </w:docPartPr>
      <w:docPartBody>
        <w:p w:rsidR="00304308" w:rsidRDefault="00EE5906" w:rsidP="00EE5906">
          <w:pPr>
            <w:pStyle w:val="D6462182257C4CC2B28A313A61B8FF45"/>
          </w:pPr>
          <w:r>
            <w:rPr>
              <w:rFonts w:asciiTheme="majorHAnsi" w:eastAsiaTheme="majorEastAsia" w:hAnsiTheme="majorHAnsi" w:cstheme="majorBidi"/>
              <w:color w:val="4472C4" w:themeColor="accent1"/>
              <w:sz w:val="88"/>
              <w:szCs w:val="88"/>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venir Roman">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New Roman (Títulos en alf">
    <w:altName w:val="Times New Roman"/>
    <w:charset w:val="00"/>
    <w:family w:val="roman"/>
    <w:pitch w:val="variable"/>
    <w:sig w:usb0="E0002AEF" w:usb1="C0007841" w:usb2="00000009" w:usb3="00000000" w:csb0="000001FF" w:csb1="00000000"/>
  </w:font>
  <w:font w:name="Times New Roman (Cuerpo en alfa">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906"/>
    <w:rsid w:val="000F675E"/>
    <w:rsid w:val="001E6117"/>
    <w:rsid w:val="002208D8"/>
    <w:rsid w:val="002444FC"/>
    <w:rsid w:val="002B4C92"/>
    <w:rsid w:val="00304308"/>
    <w:rsid w:val="0032620A"/>
    <w:rsid w:val="003427F1"/>
    <w:rsid w:val="00396654"/>
    <w:rsid w:val="003D0360"/>
    <w:rsid w:val="003D0B62"/>
    <w:rsid w:val="004454C4"/>
    <w:rsid w:val="00471297"/>
    <w:rsid w:val="004F5377"/>
    <w:rsid w:val="00566572"/>
    <w:rsid w:val="006F6F52"/>
    <w:rsid w:val="007B09D6"/>
    <w:rsid w:val="0082049F"/>
    <w:rsid w:val="00884225"/>
    <w:rsid w:val="008F25AA"/>
    <w:rsid w:val="00905933"/>
    <w:rsid w:val="009A1DD6"/>
    <w:rsid w:val="009D0E47"/>
    <w:rsid w:val="009D1E43"/>
    <w:rsid w:val="009D4E86"/>
    <w:rsid w:val="00A40692"/>
    <w:rsid w:val="00A455EC"/>
    <w:rsid w:val="00AD675C"/>
    <w:rsid w:val="00B917A7"/>
    <w:rsid w:val="00BD5B2C"/>
    <w:rsid w:val="00C06683"/>
    <w:rsid w:val="00D11ED3"/>
    <w:rsid w:val="00D3325D"/>
    <w:rsid w:val="00E855E8"/>
    <w:rsid w:val="00EA1DC4"/>
    <w:rsid w:val="00EE5906"/>
    <w:rsid w:val="00F03CEC"/>
    <w:rsid w:val="00FF3A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6462182257C4CC2B28A313A61B8FF45">
    <w:name w:val="D6462182257C4CC2B28A313A61B8FF45"/>
    <w:rsid w:val="00EE59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DB16FBABC64BC43A70AC7543D6981BE" ma:contentTypeVersion="8" ma:contentTypeDescription="Crear nuevo documento." ma:contentTypeScope="" ma:versionID="c94c276618e56e6440ffe298a0f849af">
  <xsd:schema xmlns:xsd="http://www.w3.org/2001/XMLSchema" xmlns:xs="http://www.w3.org/2001/XMLSchema" xmlns:p="http://schemas.microsoft.com/office/2006/metadata/properties" xmlns:ns2="b4a76624-bef3-4917-a43b-0a3b46bc7b34" targetNamespace="http://schemas.microsoft.com/office/2006/metadata/properties" ma:root="true" ma:fieldsID="888f634d09b72d8e25320696b96b53a6" ns2:_="">
    <xsd:import namespace="b4a76624-bef3-4917-a43b-0a3b46bc7b34"/>
    <xsd:element name="properties">
      <xsd:complexType>
        <xsd:sequence>
          <xsd:element name="documentManagement">
            <xsd:complexType>
              <xsd:all>
                <xsd:element ref="ns2:_x0068_rb3" minOccurs="0"/>
                <xsd:element ref="ns2:bheu" minOccurs="0"/>
                <xsd:element ref="ns2:fy1x" minOccurs="0"/>
                <xsd:element ref="ns2:dmjr" minOccurs="0"/>
                <xsd:element ref="ns2:ef2n" minOccurs="0"/>
                <xsd:element ref="ns2:zdyz" minOccurs="0"/>
                <xsd:element ref="ns2:A_x00f1_o" minOccurs="0"/>
                <xsd:element ref="ns2:Periodicid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76624-bef3-4917-a43b-0a3b46bc7b34" elementFormDefault="qualified">
    <xsd:import namespace="http://schemas.microsoft.com/office/2006/documentManagement/types"/>
    <xsd:import namespace="http://schemas.microsoft.com/office/infopath/2007/PartnerControls"/>
    <xsd:element name="_x0068_rb3" ma:index="8" nillable="true" ma:displayName="Fecha de creación" ma:internalName="_x0068_rb3">
      <xsd:simpleType>
        <xsd:restriction base="dms:Number"/>
      </xsd:simpleType>
    </xsd:element>
    <xsd:element name="bheu" ma:index="9" nillable="true" ma:displayName="Fecha de publicación" ma:internalName="bheu">
      <xsd:simpleType>
        <xsd:restriction base="dms:Number"/>
      </xsd:simpleType>
    </xsd:element>
    <xsd:element name="fy1x" ma:index="10" nillable="true" ma:displayName="Subcarpeta" ma:internalName="fy1x">
      <xsd:simpleType>
        <xsd:restriction base="dms:Text"/>
      </xsd:simpleType>
    </xsd:element>
    <xsd:element name="dmjr" ma:index="11" nillable="true" ma:displayName="Fecha de creación" ma:format="DateOnly" ma:internalName="dmjr">
      <xsd:simpleType>
        <xsd:restriction base="dms:DateTime"/>
      </xsd:simpleType>
    </xsd:element>
    <xsd:element name="ef2n" ma:index="12" nillable="true" ma:displayName="Fecha de publicación" ma:format="DateOnly" ma:internalName="ef2n">
      <xsd:simpleType>
        <xsd:restriction base="dms:DateTime"/>
      </xsd:simpleType>
    </xsd:element>
    <xsd:element name="zdyz" ma:index="13" nillable="true" ma:displayName="Sección" ma:internalName="zdyz">
      <xsd:simpleType>
        <xsd:restriction base="dms:Text"/>
      </xsd:simpleType>
    </xsd:element>
    <xsd:element name="A_x00f1_o" ma:index="14" nillable="true" ma:displayName="Año" ma:decimals="0" ma:internalName="A_x00f1_o" ma:percentage="FALSE">
      <xsd:simpleType>
        <xsd:restriction base="dms:Number"/>
      </xsd:simpleType>
    </xsd:element>
    <xsd:element name="Periodicidad" ma:index="15" nillable="true" ma:displayName="Periodicidad" ma:internalName="Periodicida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f2n xmlns="b4a76624-bef3-4917-a43b-0a3b46bc7b34" xsi:nil="true"/>
    <_x0068_rb3 xmlns="b4a76624-bef3-4917-a43b-0a3b46bc7b34" xsi:nil="true"/>
    <bheu xmlns="b4a76624-bef3-4917-a43b-0a3b46bc7b34" xsi:nil="true"/>
    <zdyz xmlns="b4a76624-bef3-4917-a43b-0a3b46bc7b34" xsi:nil="true"/>
    <dmjr xmlns="b4a76624-bef3-4917-a43b-0a3b46bc7b34" xsi:nil="true"/>
    <fy1x xmlns="b4a76624-bef3-4917-a43b-0a3b46bc7b34" xsi:nil="true"/>
    <A_x00f1_o xmlns="b4a76624-bef3-4917-a43b-0a3b46bc7b34" xsi:nil="true"/>
    <Periodicidad xmlns="b4a76624-bef3-4917-a43b-0a3b46bc7b34" xsi:nil="true"/>
  </documentManagement>
</p:properties>
</file>

<file path=customXml/itemProps1.xml><?xml version="1.0" encoding="utf-8"?>
<ds:datastoreItem xmlns:ds="http://schemas.openxmlformats.org/officeDocument/2006/customXml" ds:itemID="{987E9E7F-4FF0-48F7-808B-CAD15949391E}"/>
</file>

<file path=customXml/itemProps2.xml><?xml version="1.0" encoding="utf-8"?>
<ds:datastoreItem xmlns:ds="http://schemas.openxmlformats.org/officeDocument/2006/customXml" ds:itemID="{91E806FF-CE02-408E-961B-C9C45AFEA28A}"/>
</file>

<file path=customXml/itemProps3.xml><?xml version="1.0" encoding="utf-8"?>
<ds:datastoreItem xmlns:ds="http://schemas.openxmlformats.org/officeDocument/2006/customXml" ds:itemID="{1432EF54-D86A-4E19-8FE2-1D93BA0372D4}"/>
</file>

<file path=customXml/itemProps4.xml><?xml version="1.0" encoding="utf-8"?>
<ds:datastoreItem xmlns:ds="http://schemas.openxmlformats.org/officeDocument/2006/customXml" ds:itemID="{58A8D622-BEE0-477E-AF1D-E5D1478FF2EB}"/>
</file>

<file path=docProps/app.xml><?xml version="1.0" encoding="utf-8"?>
<Properties xmlns="http://schemas.openxmlformats.org/officeDocument/2006/extended-properties" xmlns:vt="http://schemas.openxmlformats.org/officeDocument/2006/docPropsVTypes">
  <Template>Normal</Template>
  <TotalTime>71</TotalTime>
  <Pages>28</Pages>
  <Words>9497</Words>
  <Characters>52237</Characters>
  <Application>Microsoft Office Word</Application>
  <DocSecurity>0</DocSecurity>
  <Lines>435</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Justificación técnico – económica para el anteproyecto de presupuesto 2021</vt:lpstr>
      <vt:lpstr/>
    </vt:vector>
  </TitlesOfParts>
  <Company/>
  <LinksUpToDate>false</LinksUpToDate>
  <CharactersWithSpaces>61611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Justificación técnico – económica para el anteproyecto de presupuesto 2021</dc:title>
  <dc:subject/>
  <dc:creator>Juan Sebastian Sanabria Monsalve</dc:creator>
  <cp:keywords/>
  <dc:description/>
  <cp:lastModifiedBy>LIBIA BARRERA</cp:lastModifiedBy>
  <cp:revision>40</cp:revision>
  <cp:lastPrinted>2019-08-30T17:08:00Z</cp:lastPrinted>
  <dcterms:created xsi:type="dcterms:W3CDTF">2020-03-30T19:54:00Z</dcterms:created>
  <dcterms:modified xsi:type="dcterms:W3CDTF">2021-03-05T15:03:00Z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0x0101005DB16FBABC64BC43A70AC7543D6981BE</vt:lpwstr>
  </property>
</Properties>
</file>