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A7CA" w14:textId="77777777" w:rsidR="00830DAA" w:rsidRPr="00830DAA" w:rsidRDefault="00830DAA" w:rsidP="00830DAA">
      <w:pPr>
        <w:pStyle w:val="Ttulo"/>
        <w:rPr>
          <w:color w:val="156082" w:themeColor="accent1"/>
          <w:sz w:val="32"/>
          <w:szCs w:val="32"/>
          <w:lang w:val="es-CO"/>
        </w:rPr>
      </w:pPr>
      <w:bookmarkStart w:id="0" w:name="_Toc210414427"/>
      <w:r w:rsidRPr="00830DAA">
        <w:rPr>
          <w:color w:val="156082" w:themeColor="accent1"/>
          <w:sz w:val="32"/>
          <w:szCs w:val="32"/>
          <w:lang w:val="es-CO"/>
        </w:rPr>
        <w:t>Buenas prácticas en la justicia ordinaria</w:t>
      </w:r>
      <w:bookmarkEnd w:id="0"/>
    </w:p>
    <w:p w14:paraId="7C6EDD8D" w14:textId="77777777" w:rsidR="00830DAA" w:rsidRPr="009126A8" w:rsidRDefault="00830DAA" w:rsidP="00830DAA">
      <w:pPr>
        <w:spacing w:line="276" w:lineRule="auto"/>
        <w:rPr>
          <w:lang w:val="es-CO"/>
        </w:rPr>
      </w:pPr>
    </w:p>
    <w:p w14:paraId="44365D03" w14:textId="77777777" w:rsidR="00830DAA" w:rsidRDefault="00830DAA" w:rsidP="00830DAA">
      <w:pPr>
        <w:spacing w:line="276" w:lineRule="auto"/>
        <w:jc w:val="both"/>
        <w:rPr>
          <w:lang w:val="es-CO"/>
        </w:rPr>
      </w:pPr>
      <w:r w:rsidRPr="009126A8">
        <w:rPr>
          <w:lang w:val="es-CO"/>
        </w:rPr>
        <w:t xml:space="preserve">La garantía de acceso a la justicia para Personas con Discapacidad exige que los operadores judiciales implementen ajustes razonables durante los procesos. Estos ajustes, ordenados directamente por jueces, buscan eliminar barreras comunicativas, sensoriales o cognitivas que impidan la participación efectiva. </w:t>
      </w:r>
    </w:p>
    <w:p w14:paraId="749B206A" w14:textId="77777777" w:rsidR="00830DAA" w:rsidRPr="009126A8" w:rsidRDefault="00830DAA" w:rsidP="00830DAA">
      <w:pPr>
        <w:spacing w:line="276" w:lineRule="auto"/>
        <w:jc w:val="both"/>
        <w:rPr>
          <w:lang w:val="es-CO"/>
        </w:rPr>
      </w:pPr>
      <w:r w:rsidRPr="009126A8">
        <w:rPr>
          <w:lang w:val="es-CO"/>
        </w:rPr>
        <w:t xml:space="preserve">A continuación, se analizan tres casos emblemáticos </w:t>
      </w:r>
      <w:r>
        <w:rPr>
          <w:lang w:val="es-CO"/>
        </w:rPr>
        <w:t>en los que</w:t>
      </w:r>
      <w:r w:rsidRPr="009126A8">
        <w:rPr>
          <w:lang w:val="es-CO"/>
        </w:rPr>
        <w:t xml:space="preserve"> los jueces adaptaron procedimientos para asegurar igualdad sustantiva.</w:t>
      </w:r>
    </w:p>
    <w:p w14:paraId="7E378B06" w14:textId="77777777" w:rsidR="00830DAA" w:rsidRPr="009126A8" w:rsidRDefault="00830DAA" w:rsidP="00830DAA">
      <w:pPr>
        <w:spacing w:line="276" w:lineRule="auto"/>
        <w:jc w:val="both"/>
        <w:rPr>
          <w:lang w:val="es-CO"/>
        </w:rPr>
      </w:pPr>
      <w:bookmarkStart w:id="1" w:name="_Toc210414428"/>
      <w:r w:rsidRPr="009126A8">
        <w:rPr>
          <w:rStyle w:val="Ttulo3Car"/>
          <w:lang w:val="es-CO"/>
        </w:rPr>
        <w:t>Caso 1:</w:t>
      </w:r>
      <w:bookmarkEnd w:id="1"/>
      <w:r w:rsidRPr="009126A8">
        <w:rPr>
          <w:lang w:val="es-CO"/>
        </w:rPr>
        <w:t xml:space="preserve"> Intérprete de Lengua de Señas Colombiana en proceso penal por violencia sexual (Tribunal Superior de Medellín, 2025).</w:t>
      </w:r>
    </w:p>
    <w:p w14:paraId="33DD6396" w14:textId="6DF8F246" w:rsidR="00830DAA" w:rsidRPr="009126A8" w:rsidRDefault="00830DAA" w:rsidP="00830DAA">
      <w:pPr>
        <w:spacing w:line="276" w:lineRule="auto"/>
        <w:jc w:val="both"/>
        <w:rPr>
          <w:lang w:val="es-CO"/>
        </w:rPr>
      </w:pPr>
      <w:r w:rsidRPr="009126A8">
        <w:rPr>
          <w:lang w:val="es-CO"/>
        </w:rPr>
        <w:t>En el proceso penal, la víctima, EMRR, presentaba sordera profunda bilateral congénita</w:t>
      </w:r>
      <w:r>
        <w:rPr>
          <w:rStyle w:val="Refdenotaalpie"/>
          <w:lang w:val="es-CO"/>
        </w:rPr>
        <w:footnoteReference w:id="1"/>
      </w:r>
      <w:r w:rsidRPr="009126A8">
        <w:rPr>
          <w:lang w:val="es-CO"/>
        </w:rPr>
        <w:t xml:space="preserve"> y era analfabeta</w:t>
      </w:r>
      <w:r w:rsidR="002302B1">
        <w:rPr>
          <w:rStyle w:val="Refdenotaalpie"/>
          <w:lang w:val="es-CO"/>
        </w:rPr>
        <w:footnoteReference w:id="2"/>
      </w:r>
      <w:r w:rsidRPr="009126A8">
        <w:rPr>
          <w:lang w:val="es-CO"/>
        </w:rPr>
        <w:t>, perteneciente a la comunidad LGBTIQ+. Los hechos involucraban violencia sexual y desplazamiento forzado. Durante las audiencias, la Fiscalía no proporcionó un intérprete de Lengua de Señas Colombiana (LSC), lo que generó una acción de tutela por vulneración del derecho al debido proceso.</w:t>
      </w:r>
    </w:p>
    <w:p w14:paraId="4F423574" w14:textId="77777777" w:rsidR="00830DAA" w:rsidRPr="009126A8" w:rsidRDefault="00830DAA" w:rsidP="00830DAA">
      <w:pPr>
        <w:pStyle w:val="Ttulo4"/>
        <w:spacing w:line="276" w:lineRule="auto"/>
        <w:rPr>
          <w:lang w:val="es-CO"/>
        </w:rPr>
      </w:pPr>
      <w:r w:rsidRPr="009126A8">
        <w:rPr>
          <w:lang w:val="es-CO"/>
        </w:rPr>
        <w:t>a. Ajustes ordenados por el juez</w:t>
      </w:r>
    </w:p>
    <w:p w14:paraId="3A097351" w14:textId="77777777" w:rsidR="00830DAA" w:rsidRPr="009126A8" w:rsidRDefault="00830DAA" w:rsidP="00830DAA">
      <w:pPr>
        <w:spacing w:line="276" w:lineRule="auto"/>
        <w:rPr>
          <w:lang w:val="es-CO"/>
        </w:rPr>
      </w:pPr>
    </w:p>
    <w:p w14:paraId="1799AB8B" w14:textId="484A7E3E" w:rsidR="00830DAA" w:rsidRPr="009126A8" w:rsidRDefault="00830DAA" w:rsidP="00830DAA">
      <w:pPr>
        <w:spacing w:line="276" w:lineRule="auto"/>
        <w:jc w:val="both"/>
        <w:rPr>
          <w:lang w:val="es-CO"/>
        </w:rPr>
      </w:pPr>
      <w:r w:rsidRPr="009126A8">
        <w:rPr>
          <w:lang w:val="es-CO"/>
        </w:rPr>
        <w:t>El Juzgado 001 Penal del Circuito de La Ceja determinó que, según el artículo 144 de la Ley 906 de 2004</w:t>
      </w:r>
      <w:r w:rsidR="002302B1">
        <w:rPr>
          <w:rStyle w:val="Refdenotaalpie"/>
          <w:lang w:val="es-CO"/>
        </w:rPr>
        <w:footnoteReference w:id="3"/>
      </w:r>
      <w:r w:rsidRPr="009126A8">
        <w:rPr>
          <w:lang w:val="es-CO"/>
        </w:rPr>
        <w:t>, era obligatorio garantizar un intérprete de LSC para que la víctima comprendiera las actuaciones y pudiera declarar. El tribunal enfatizó que la ausencia de este recurso constituía un "perjuicio irremediable", ya que, sin él, EMRR no podía ejercer su derecho a la defensa ni a la participación activa.</w:t>
      </w:r>
    </w:p>
    <w:p w14:paraId="7D56A10D" w14:textId="77777777" w:rsidR="00830DAA" w:rsidRPr="009126A8" w:rsidRDefault="00830DAA" w:rsidP="00830DAA">
      <w:pPr>
        <w:pStyle w:val="Ttulo4"/>
        <w:spacing w:line="276" w:lineRule="auto"/>
        <w:rPr>
          <w:lang w:val="es-CO"/>
        </w:rPr>
      </w:pPr>
      <w:r w:rsidRPr="009126A8">
        <w:rPr>
          <w:lang w:val="es-CO"/>
        </w:rPr>
        <w:t>b. Implicaciones prácticas</w:t>
      </w:r>
    </w:p>
    <w:p w14:paraId="7F6D5A58" w14:textId="77777777" w:rsidR="00830DAA" w:rsidRPr="009126A8" w:rsidRDefault="00830DAA" w:rsidP="00830DAA">
      <w:pPr>
        <w:spacing w:line="276" w:lineRule="auto"/>
        <w:rPr>
          <w:lang w:val="es-CO"/>
        </w:rPr>
      </w:pPr>
    </w:p>
    <w:p w14:paraId="212FCE18" w14:textId="77777777" w:rsidR="00830DAA" w:rsidRPr="009126A8" w:rsidRDefault="00830DAA" w:rsidP="00830DAA">
      <w:pPr>
        <w:pStyle w:val="Prrafodelista"/>
        <w:numPr>
          <w:ilvl w:val="0"/>
          <w:numId w:val="5"/>
        </w:numPr>
        <w:spacing w:line="276" w:lineRule="auto"/>
        <w:jc w:val="both"/>
        <w:rPr>
          <w:lang w:val="es-CO"/>
        </w:rPr>
      </w:pPr>
      <w:r w:rsidRPr="009126A8">
        <w:rPr>
          <w:lang w:val="es-CO"/>
        </w:rPr>
        <w:t xml:space="preserve">La sentencia estableció que la designación de intérpretes en procesos penales es responsabilidad directa del juez de conocimiento, no de la Fiscalía. </w:t>
      </w:r>
    </w:p>
    <w:p w14:paraId="42022664" w14:textId="33414627" w:rsidR="00830DAA" w:rsidRPr="009126A8" w:rsidRDefault="00830DAA" w:rsidP="00830DAA">
      <w:pPr>
        <w:pStyle w:val="Prrafodelista"/>
        <w:numPr>
          <w:ilvl w:val="0"/>
          <w:numId w:val="5"/>
        </w:numPr>
        <w:spacing w:line="276" w:lineRule="auto"/>
        <w:jc w:val="both"/>
        <w:rPr>
          <w:lang w:val="es-CO"/>
        </w:rPr>
      </w:pPr>
      <w:r w:rsidRPr="009126A8">
        <w:rPr>
          <w:lang w:val="es-CO"/>
        </w:rPr>
        <w:lastRenderedPageBreak/>
        <w:t>Los intérpretes deben estar certificados y registrados como auxiliares de la justicia (artículo 48 del Código General del Proceso</w:t>
      </w:r>
      <w:r w:rsidR="002302B1">
        <w:rPr>
          <w:rStyle w:val="Refdenotaalpie"/>
          <w:lang w:val="es-CO"/>
        </w:rPr>
        <w:footnoteReference w:id="4"/>
      </w:r>
      <w:r w:rsidRPr="009126A8">
        <w:rPr>
          <w:lang w:val="es-CO"/>
        </w:rPr>
        <w:t>).</w:t>
      </w:r>
    </w:p>
    <w:p w14:paraId="6787A297" w14:textId="77777777" w:rsidR="00830DAA" w:rsidRPr="009126A8" w:rsidRDefault="00830DAA" w:rsidP="00830DAA">
      <w:pPr>
        <w:pStyle w:val="Prrafodelista"/>
        <w:numPr>
          <w:ilvl w:val="0"/>
          <w:numId w:val="5"/>
        </w:numPr>
        <w:spacing w:line="276" w:lineRule="auto"/>
        <w:jc w:val="both"/>
        <w:rPr>
          <w:lang w:val="es-CO"/>
        </w:rPr>
      </w:pPr>
      <w:r w:rsidRPr="009126A8">
        <w:rPr>
          <w:lang w:val="es-CO"/>
        </w:rPr>
        <w:t>En casos de víctimas con discapacidad auditiva, las plataformas virtuales deben permitir la visibilidad completa del intérprete durante las audiencias.</w:t>
      </w:r>
    </w:p>
    <w:p w14:paraId="59757A02" w14:textId="77777777" w:rsidR="00830DAA" w:rsidRPr="009126A8" w:rsidRDefault="00830DAA" w:rsidP="00830DAA">
      <w:pPr>
        <w:spacing w:line="276" w:lineRule="auto"/>
        <w:jc w:val="both"/>
        <w:rPr>
          <w:lang w:val="es-CO"/>
        </w:rPr>
      </w:pPr>
      <w:bookmarkStart w:id="2" w:name="_Toc210414429"/>
      <w:r w:rsidRPr="009126A8">
        <w:rPr>
          <w:rStyle w:val="Ttulo3Car"/>
          <w:lang w:val="es-CO"/>
        </w:rPr>
        <w:t>Caso 2:</w:t>
      </w:r>
      <w:bookmarkEnd w:id="2"/>
      <w:r w:rsidRPr="009126A8">
        <w:rPr>
          <w:lang w:val="es-CO"/>
        </w:rPr>
        <w:t xml:space="preserve"> Guía-Intérprete Permanente para persona con sordoceguera (Corte Suprema de Justicia, 2019).</w:t>
      </w:r>
    </w:p>
    <w:p w14:paraId="0AD681EF" w14:textId="77777777" w:rsidR="00830DAA" w:rsidRPr="009126A8" w:rsidRDefault="00830DAA" w:rsidP="00830DAA">
      <w:pPr>
        <w:spacing w:line="276" w:lineRule="auto"/>
        <w:jc w:val="both"/>
        <w:rPr>
          <w:lang w:val="es-CO"/>
        </w:rPr>
      </w:pPr>
      <w:r w:rsidRPr="009126A8">
        <w:rPr>
          <w:lang w:val="es-CO"/>
        </w:rPr>
        <w:t>Samuel, con ceguera y discapacidad auditiva congénita, demandó a su EPS por no proporcionarle un guía-intérprete permanente, a pesar de una orden judicial previa. El hombre requería asistencia para comunicarse en trámites médicos y legales, ya que su condición le impedía acceder a información escrita o auditiva.</w:t>
      </w:r>
    </w:p>
    <w:p w14:paraId="6243742E" w14:textId="77777777" w:rsidR="00830DAA" w:rsidRPr="009126A8" w:rsidRDefault="00830DAA" w:rsidP="00830DAA">
      <w:pPr>
        <w:pStyle w:val="Ttulo4"/>
        <w:numPr>
          <w:ilvl w:val="0"/>
          <w:numId w:val="1"/>
        </w:numPr>
        <w:tabs>
          <w:tab w:val="num" w:pos="360"/>
        </w:tabs>
        <w:spacing w:line="276" w:lineRule="auto"/>
        <w:ind w:left="0" w:firstLine="0"/>
        <w:rPr>
          <w:lang w:val="es-CO"/>
        </w:rPr>
      </w:pPr>
      <w:r w:rsidRPr="009126A8">
        <w:rPr>
          <w:lang w:val="es-CO"/>
        </w:rPr>
        <w:t>Ajustes ordenados por el juez</w:t>
      </w:r>
    </w:p>
    <w:p w14:paraId="50CCF80E" w14:textId="77777777" w:rsidR="00830DAA" w:rsidRPr="009126A8" w:rsidRDefault="00830DAA" w:rsidP="00830DAA">
      <w:pPr>
        <w:spacing w:line="276" w:lineRule="auto"/>
        <w:rPr>
          <w:lang w:val="es-CO"/>
        </w:rPr>
      </w:pPr>
    </w:p>
    <w:p w14:paraId="625507C7" w14:textId="77777777" w:rsidR="00830DAA" w:rsidRPr="009126A8" w:rsidRDefault="00830DAA" w:rsidP="00830DAA">
      <w:pPr>
        <w:spacing w:line="276" w:lineRule="auto"/>
        <w:jc w:val="both"/>
        <w:rPr>
          <w:lang w:val="es-CO"/>
        </w:rPr>
      </w:pPr>
      <w:r w:rsidRPr="009126A8">
        <w:rPr>
          <w:lang w:val="es-CO"/>
        </w:rPr>
        <w:t>La Corte Suprema de Justicia revocó una decisión de segunda instancia que había negado el recurso. Ordenó a la EPS suministrar el guía-intérprete, destacando que este ajuste no era una "sugerencia", sino una herramienta esencial para mitigar el aislamiento sensorial y garantizar su autonomía. El fallo citó el artículo 8 de la Ley 1996 de 2019, que exige ajustes razonables para el ejercicio de la capacidad legal.</w:t>
      </w:r>
    </w:p>
    <w:p w14:paraId="73183D33" w14:textId="77777777" w:rsidR="00830DAA" w:rsidRPr="009126A8" w:rsidRDefault="00830DAA" w:rsidP="00830DAA">
      <w:pPr>
        <w:pStyle w:val="Ttulo4"/>
        <w:numPr>
          <w:ilvl w:val="0"/>
          <w:numId w:val="1"/>
        </w:numPr>
        <w:tabs>
          <w:tab w:val="num" w:pos="360"/>
        </w:tabs>
        <w:spacing w:line="276" w:lineRule="auto"/>
        <w:ind w:left="0" w:firstLine="0"/>
        <w:rPr>
          <w:lang w:val="es-CO"/>
        </w:rPr>
      </w:pPr>
      <w:r w:rsidRPr="009126A8">
        <w:rPr>
          <w:lang w:val="es-CO"/>
        </w:rPr>
        <w:t>Implicaciones prácticas</w:t>
      </w:r>
    </w:p>
    <w:p w14:paraId="03F0BA8D" w14:textId="77777777" w:rsidR="00830DAA" w:rsidRPr="009126A8" w:rsidRDefault="00830DAA" w:rsidP="00830DAA">
      <w:pPr>
        <w:pStyle w:val="Prrafodelista"/>
        <w:numPr>
          <w:ilvl w:val="0"/>
          <w:numId w:val="4"/>
        </w:numPr>
        <w:spacing w:line="276" w:lineRule="auto"/>
        <w:jc w:val="both"/>
        <w:rPr>
          <w:lang w:val="es-CO"/>
        </w:rPr>
      </w:pPr>
      <w:r w:rsidRPr="009126A8">
        <w:rPr>
          <w:lang w:val="es-CO"/>
        </w:rPr>
        <w:t>Los jueces deben valorar impactos psicosociales de la discapacidad, no solo físicos.</w:t>
      </w:r>
    </w:p>
    <w:p w14:paraId="453171CA" w14:textId="77777777" w:rsidR="00830DAA" w:rsidRPr="009126A8" w:rsidRDefault="00830DAA" w:rsidP="00830DAA">
      <w:pPr>
        <w:pStyle w:val="Prrafodelista"/>
        <w:numPr>
          <w:ilvl w:val="0"/>
          <w:numId w:val="4"/>
        </w:numPr>
        <w:spacing w:line="276" w:lineRule="auto"/>
        <w:jc w:val="both"/>
        <w:rPr>
          <w:lang w:val="es-CO"/>
        </w:rPr>
      </w:pPr>
      <w:r w:rsidRPr="009126A8">
        <w:rPr>
          <w:lang w:val="es-CO"/>
        </w:rPr>
        <w:t>La denegación de ajustes razonables en salud se considera una vulneración de derechos fundamentales (dignidad, vida en condiciones dignas).</w:t>
      </w:r>
    </w:p>
    <w:p w14:paraId="14E71F90" w14:textId="77777777" w:rsidR="00830DAA" w:rsidRPr="009126A8" w:rsidRDefault="00830DAA" w:rsidP="00830DAA">
      <w:pPr>
        <w:pStyle w:val="Prrafodelista"/>
        <w:numPr>
          <w:ilvl w:val="0"/>
          <w:numId w:val="4"/>
        </w:numPr>
        <w:spacing w:line="276" w:lineRule="auto"/>
        <w:jc w:val="both"/>
        <w:rPr>
          <w:lang w:val="es-CO"/>
        </w:rPr>
      </w:pPr>
      <w:r w:rsidRPr="009126A8">
        <w:rPr>
          <w:lang w:val="es-CO"/>
        </w:rPr>
        <w:t>En casos de sordoceguera, los apoyos deben ser permanentes y especializados, no temporales.</w:t>
      </w:r>
    </w:p>
    <w:p w14:paraId="01B28E3D" w14:textId="77777777" w:rsidR="00830DAA" w:rsidRPr="009126A8" w:rsidRDefault="00830DAA" w:rsidP="00830DAA">
      <w:pPr>
        <w:spacing w:line="276" w:lineRule="auto"/>
        <w:jc w:val="both"/>
        <w:rPr>
          <w:lang w:val="es-CO"/>
        </w:rPr>
      </w:pPr>
      <w:bookmarkStart w:id="3" w:name="_Toc210414430"/>
      <w:r w:rsidRPr="009126A8">
        <w:rPr>
          <w:rStyle w:val="Ttulo3Car"/>
          <w:lang w:val="es-CO"/>
        </w:rPr>
        <w:t>Caso 3:</w:t>
      </w:r>
      <w:bookmarkEnd w:id="3"/>
      <w:r w:rsidRPr="009126A8">
        <w:rPr>
          <w:lang w:val="es-CO"/>
        </w:rPr>
        <w:t xml:space="preserve"> Adaptación de solemnidades en testamento para persona sorda (Corte Constitucional, 2023)</w:t>
      </w:r>
    </w:p>
    <w:p w14:paraId="3A07731B" w14:textId="7D06ACC7" w:rsidR="00830DAA" w:rsidRPr="009126A8" w:rsidRDefault="00830DAA" w:rsidP="00830DAA">
      <w:pPr>
        <w:spacing w:line="276" w:lineRule="auto"/>
        <w:jc w:val="both"/>
        <w:rPr>
          <w:lang w:val="es-CO"/>
        </w:rPr>
      </w:pPr>
      <w:r w:rsidRPr="009126A8">
        <w:rPr>
          <w:lang w:val="es-CO"/>
        </w:rPr>
        <w:t>La Sentencia C-260 de 2023 declaró inconstitucionales artículos del Código Civil que limitaban a las Personas con Discapacidad auditiva a hacer solo testamentos cerrados. La norma impedía que usaran Lengua de Señas o sistemas</w:t>
      </w:r>
      <w:r w:rsidR="002302B1">
        <w:rPr>
          <w:lang w:val="es-CO"/>
        </w:rPr>
        <w:t xml:space="preserve"> de comunicación aumentativos o</w:t>
      </w:r>
      <w:r w:rsidRPr="009126A8">
        <w:rPr>
          <w:lang w:val="es-CO"/>
        </w:rPr>
        <w:t xml:space="preserve"> alternativos para expresar su última voluntad.</w:t>
      </w:r>
    </w:p>
    <w:p w14:paraId="4AD7AE73" w14:textId="77777777" w:rsidR="00830DAA" w:rsidRPr="009126A8" w:rsidRDefault="00830DAA" w:rsidP="00830DAA">
      <w:pPr>
        <w:pStyle w:val="Ttulo4"/>
        <w:numPr>
          <w:ilvl w:val="0"/>
          <w:numId w:val="2"/>
        </w:numPr>
        <w:tabs>
          <w:tab w:val="num" w:pos="360"/>
        </w:tabs>
        <w:spacing w:line="276" w:lineRule="auto"/>
        <w:ind w:left="0" w:firstLine="0"/>
        <w:rPr>
          <w:lang w:val="es-CO"/>
        </w:rPr>
      </w:pPr>
      <w:r w:rsidRPr="009126A8">
        <w:rPr>
          <w:lang w:val="es-CO"/>
        </w:rPr>
        <w:lastRenderedPageBreak/>
        <w:t>Ajustes ordenados por el juez</w:t>
      </w:r>
    </w:p>
    <w:p w14:paraId="4F4C41E0" w14:textId="77777777" w:rsidR="00830DAA" w:rsidRPr="009126A8" w:rsidRDefault="00830DAA" w:rsidP="00830DAA">
      <w:pPr>
        <w:spacing w:line="276" w:lineRule="auto"/>
        <w:rPr>
          <w:lang w:val="es-CO"/>
        </w:rPr>
      </w:pPr>
    </w:p>
    <w:p w14:paraId="3B880EE2" w14:textId="77777777" w:rsidR="00830DAA" w:rsidRPr="009126A8" w:rsidRDefault="00830DAA" w:rsidP="00830DAA">
      <w:pPr>
        <w:spacing w:line="276" w:lineRule="auto"/>
        <w:jc w:val="both"/>
        <w:rPr>
          <w:lang w:val="es-CO"/>
        </w:rPr>
      </w:pPr>
      <w:r w:rsidRPr="009126A8">
        <w:rPr>
          <w:lang w:val="es-CO"/>
        </w:rPr>
        <w:t xml:space="preserve">La Corte Constitucional condicionó la </w:t>
      </w:r>
      <w:proofErr w:type="spellStart"/>
      <w:r w:rsidRPr="009126A8">
        <w:rPr>
          <w:lang w:val="es-CO"/>
        </w:rPr>
        <w:t>exequibilidad</w:t>
      </w:r>
      <w:proofErr w:type="spellEnd"/>
      <w:r w:rsidRPr="009126A8">
        <w:rPr>
          <w:lang w:val="es-CO"/>
        </w:rPr>
        <w:t xml:space="preserve"> de las normas, exigiendo que los jueces y notarios permitan el uso de intérpretes de LSC durante la lectura del testamento. Se aceptan grabaciones en video como válidas para documentar la voluntad del testador y se adaptan las formalidades del testamento abierto (como la lectura en voz alta) mediante tecnologías accesibles.</w:t>
      </w:r>
    </w:p>
    <w:p w14:paraId="6DAFCC24" w14:textId="77777777" w:rsidR="00830DAA" w:rsidRPr="009126A8" w:rsidRDefault="00830DAA" w:rsidP="00830DAA">
      <w:pPr>
        <w:pStyle w:val="Ttulo4"/>
        <w:numPr>
          <w:ilvl w:val="0"/>
          <w:numId w:val="2"/>
        </w:numPr>
        <w:tabs>
          <w:tab w:val="num" w:pos="360"/>
        </w:tabs>
        <w:spacing w:line="276" w:lineRule="auto"/>
        <w:ind w:left="0" w:firstLine="0"/>
        <w:rPr>
          <w:lang w:val="es-CO"/>
        </w:rPr>
      </w:pPr>
      <w:r w:rsidRPr="009126A8">
        <w:rPr>
          <w:lang w:val="es-CO"/>
        </w:rPr>
        <w:t>Implicaciones prácticas</w:t>
      </w:r>
    </w:p>
    <w:p w14:paraId="0C376B54" w14:textId="77777777" w:rsidR="00830DAA" w:rsidRPr="009126A8" w:rsidRDefault="00830DAA" w:rsidP="00830DAA">
      <w:pPr>
        <w:spacing w:line="276" w:lineRule="auto"/>
        <w:rPr>
          <w:lang w:val="es-CO"/>
        </w:rPr>
      </w:pPr>
    </w:p>
    <w:p w14:paraId="451D3EDF" w14:textId="77777777" w:rsidR="00830DAA" w:rsidRPr="009126A8" w:rsidRDefault="00830DAA" w:rsidP="00830DAA">
      <w:pPr>
        <w:pStyle w:val="Prrafodelista"/>
        <w:numPr>
          <w:ilvl w:val="0"/>
          <w:numId w:val="6"/>
        </w:numPr>
        <w:spacing w:line="276" w:lineRule="auto"/>
        <w:jc w:val="both"/>
        <w:rPr>
          <w:lang w:val="es-CO"/>
        </w:rPr>
      </w:pPr>
      <w:r w:rsidRPr="009126A8">
        <w:rPr>
          <w:lang w:val="es-CO"/>
        </w:rPr>
        <w:t>Los ajustes razonables en actos jurídicos no pueden restringirse por formalismos legales arcaicos.</w:t>
      </w:r>
    </w:p>
    <w:p w14:paraId="0E01C42F" w14:textId="77777777" w:rsidR="00830DAA" w:rsidRPr="009126A8" w:rsidRDefault="00830DAA" w:rsidP="00830DAA">
      <w:pPr>
        <w:pStyle w:val="Prrafodelista"/>
        <w:numPr>
          <w:ilvl w:val="0"/>
          <w:numId w:val="6"/>
        </w:numPr>
        <w:spacing w:line="276" w:lineRule="auto"/>
        <w:jc w:val="both"/>
        <w:rPr>
          <w:lang w:val="es-CO"/>
        </w:rPr>
      </w:pPr>
      <w:r w:rsidRPr="009126A8">
        <w:rPr>
          <w:lang w:val="es-CO"/>
        </w:rPr>
        <w:t>Los jueces deben garantizar que las personas sordas ejerzan su capacidad jurídica plena sin discriminación.</w:t>
      </w:r>
    </w:p>
    <w:p w14:paraId="74D00A60" w14:textId="77777777" w:rsidR="00830DAA" w:rsidRPr="009126A8" w:rsidRDefault="00830DAA" w:rsidP="00830DAA">
      <w:pPr>
        <w:pStyle w:val="Prrafodelista"/>
        <w:numPr>
          <w:ilvl w:val="0"/>
          <w:numId w:val="6"/>
        </w:numPr>
        <w:spacing w:line="276" w:lineRule="auto"/>
        <w:jc w:val="both"/>
        <w:rPr>
          <w:lang w:val="es-CO"/>
        </w:rPr>
      </w:pPr>
      <w:r w:rsidRPr="009126A8">
        <w:rPr>
          <w:lang w:val="es-CO"/>
        </w:rPr>
        <w:t>Se reconoció que la falta de ajustes en testamentos perpetuaba estereotipos de incapacidad e infantilización.</w:t>
      </w:r>
    </w:p>
    <w:p w14:paraId="6C2AF3C4" w14:textId="041F44E9" w:rsidR="00830DAA" w:rsidRDefault="00830DAA" w:rsidP="00830DAA">
      <w:pPr>
        <w:spacing w:line="276" w:lineRule="auto"/>
        <w:jc w:val="both"/>
        <w:rPr>
          <w:lang w:val="es-CO"/>
        </w:rPr>
      </w:pPr>
      <w:r w:rsidRPr="009126A8">
        <w:rPr>
          <w:lang w:val="es-CO"/>
        </w:rPr>
        <w:t>Estos casos demuestran que los operadores judiciales colombianos han avanzado en la aplicación de ajustes razonables, aunque persisten retos en su estandarización y fiscalización. La jurisprudencia constitucional ha sido clave para romper barreras sistémicas y garantizar que la discapacidad no sea un obstáculo para la justicia.</w:t>
      </w:r>
    </w:p>
    <w:p w14:paraId="6A8A14E8" w14:textId="77777777" w:rsidR="002302B1" w:rsidRPr="009126A8" w:rsidRDefault="002302B1" w:rsidP="00830DAA">
      <w:pPr>
        <w:spacing w:line="276" w:lineRule="auto"/>
        <w:jc w:val="both"/>
        <w:rPr>
          <w:lang w:val="es-CO"/>
        </w:rPr>
      </w:pPr>
    </w:p>
    <w:p w14:paraId="46D69FD0" w14:textId="041F44E9" w:rsidR="00830DAA" w:rsidRPr="002302B1" w:rsidRDefault="00830DAA" w:rsidP="002302B1">
      <w:pPr>
        <w:pStyle w:val="Ttulo"/>
        <w:rPr>
          <w:color w:val="156082" w:themeColor="accent1"/>
          <w:sz w:val="32"/>
          <w:szCs w:val="32"/>
          <w:lang w:val="es-CO"/>
        </w:rPr>
      </w:pPr>
      <w:bookmarkStart w:id="4" w:name="_Toc210414431"/>
      <w:r w:rsidRPr="002302B1">
        <w:rPr>
          <w:color w:val="156082" w:themeColor="accent1"/>
          <w:sz w:val="32"/>
          <w:szCs w:val="32"/>
          <w:lang w:val="es-CO"/>
        </w:rPr>
        <w:t>Buenas prácticas en el ejercicio de la justicia transicional restaurativa</w:t>
      </w:r>
      <w:bookmarkEnd w:id="4"/>
    </w:p>
    <w:p w14:paraId="32BDC0E9" w14:textId="77777777" w:rsidR="00830DAA" w:rsidRPr="009126A8" w:rsidRDefault="00830DAA" w:rsidP="00830DAA">
      <w:pPr>
        <w:spacing w:line="276" w:lineRule="auto"/>
        <w:rPr>
          <w:lang w:val="es-CO"/>
        </w:rPr>
      </w:pPr>
    </w:p>
    <w:p w14:paraId="349E7606" w14:textId="7BB60827" w:rsidR="00830DAA" w:rsidRPr="009126A8" w:rsidRDefault="00830DAA" w:rsidP="00830DAA">
      <w:pPr>
        <w:spacing w:line="276" w:lineRule="auto"/>
        <w:jc w:val="both"/>
        <w:rPr>
          <w:lang w:val="es-CO"/>
        </w:rPr>
      </w:pPr>
      <w:r w:rsidRPr="009126A8">
        <w:rPr>
          <w:lang w:val="es-CO"/>
        </w:rPr>
        <w:t xml:space="preserve">En el marco de la experiencial judicial la Jurisdicción Especial para la Paz, </w:t>
      </w:r>
      <w:r>
        <w:rPr>
          <w:lang w:val="es-CO"/>
        </w:rPr>
        <w:t>a través de</w:t>
      </w:r>
      <w:r w:rsidRPr="009126A8">
        <w:rPr>
          <w:lang w:val="es-CO"/>
        </w:rPr>
        <w:t xml:space="preserve"> la Secretar</w:t>
      </w:r>
      <w:r>
        <w:rPr>
          <w:lang w:val="es-CO"/>
        </w:rPr>
        <w:t>í</w:t>
      </w:r>
      <w:r w:rsidRPr="009126A8">
        <w:rPr>
          <w:lang w:val="es-CO"/>
        </w:rPr>
        <w:t>a Ejecutiva, cuenta</w:t>
      </w:r>
      <w:r w:rsidR="002302B1">
        <w:rPr>
          <w:lang w:val="es-CO"/>
        </w:rPr>
        <w:t xml:space="preserve">n </w:t>
      </w:r>
      <w:r w:rsidRPr="009126A8">
        <w:rPr>
          <w:lang w:val="es-CO"/>
        </w:rPr>
        <w:t>con la Oficina Asesora de Enfoques Diferenciales (OAED), responsable de la incorporación de los enfoques de género, étnico racial, niñas</w:t>
      </w:r>
      <w:r>
        <w:rPr>
          <w:lang w:val="es-CO"/>
        </w:rPr>
        <w:t>,</w:t>
      </w:r>
      <w:r w:rsidRPr="009126A8">
        <w:rPr>
          <w:lang w:val="es-CO"/>
        </w:rPr>
        <w:t xml:space="preserve"> niños y adolescentes, persona mayor, campesinado y Persona con Discapacidad, además de la perspectiva interseccional, por mandato del Acuerdo de Paz.  </w:t>
      </w:r>
    </w:p>
    <w:p w14:paraId="3E2293AE" w14:textId="77777777" w:rsidR="00830DAA" w:rsidRPr="009126A8" w:rsidRDefault="00830DAA" w:rsidP="00830DAA">
      <w:pPr>
        <w:spacing w:line="276" w:lineRule="auto"/>
        <w:jc w:val="both"/>
        <w:rPr>
          <w:lang w:val="es-CO"/>
        </w:rPr>
      </w:pPr>
      <w:r w:rsidRPr="009126A8">
        <w:rPr>
          <w:lang w:val="es-CO"/>
        </w:rPr>
        <w:t xml:space="preserve">Desde la OAED, se diseñan e implementan los ajustes razonables requeridos para que la identidad y las características particulares de las personas que transitan por esta jurisdicción, sean aplicables en todo momento procesal, extraprocesal y misional. </w:t>
      </w:r>
    </w:p>
    <w:p w14:paraId="4F884956" w14:textId="77777777" w:rsidR="00830DAA" w:rsidRPr="009126A8" w:rsidRDefault="00830DAA" w:rsidP="00830DAA">
      <w:pPr>
        <w:spacing w:line="276" w:lineRule="auto"/>
        <w:jc w:val="both"/>
        <w:rPr>
          <w:lang w:val="es-CO"/>
        </w:rPr>
      </w:pPr>
      <w:r w:rsidRPr="009126A8">
        <w:rPr>
          <w:lang w:val="es-CO"/>
        </w:rPr>
        <w:lastRenderedPageBreak/>
        <w:t>Con base en el mandato del Acuerdo de Gobierno 041 y 042 de 2023</w:t>
      </w:r>
      <w:r w:rsidRPr="009126A8">
        <w:rPr>
          <w:rStyle w:val="Refdenotaalpie"/>
          <w:lang w:val="es-CO"/>
        </w:rPr>
        <w:footnoteReference w:id="5"/>
      </w:r>
      <w:r w:rsidRPr="009126A8">
        <w:rPr>
          <w:lang w:val="es-CO"/>
        </w:rPr>
        <w:t xml:space="preserve">; por los cuales fue creada y asignadas sus funciones y competencias, se enumeran algunas experiencias para la incorporación del enfoque de Persona con Discapacidad: </w:t>
      </w:r>
    </w:p>
    <w:p w14:paraId="3A723AE4" w14:textId="77777777" w:rsidR="00830DAA" w:rsidRDefault="00830DAA" w:rsidP="00830DAA">
      <w:pPr>
        <w:spacing w:line="276" w:lineRule="auto"/>
        <w:jc w:val="both"/>
        <w:rPr>
          <w:lang w:val="es-CO"/>
        </w:rPr>
      </w:pPr>
      <w:bookmarkStart w:id="5" w:name="_Toc210414432"/>
      <w:r w:rsidRPr="009126A8">
        <w:rPr>
          <w:rStyle w:val="Ttulo3Car"/>
          <w:lang w:val="es-CO"/>
        </w:rPr>
        <w:t>Caso 1:</w:t>
      </w:r>
      <w:bookmarkEnd w:id="5"/>
      <w:r w:rsidRPr="009126A8">
        <w:rPr>
          <w:lang w:val="es-CO"/>
        </w:rPr>
        <w:t xml:space="preserve"> Guía para notificaciones con pertinencia en la incorporación de los enfoques diferenciales: </w:t>
      </w:r>
    </w:p>
    <w:p w14:paraId="4B49FDB7" w14:textId="77777777" w:rsidR="00830DAA" w:rsidRPr="00F809C7" w:rsidRDefault="00830DAA" w:rsidP="00830DAA">
      <w:pPr>
        <w:spacing w:line="276" w:lineRule="auto"/>
        <w:jc w:val="both"/>
        <w:rPr>
          <w:lang w:val="es-419"/>
        </w:rPr>
      </w:pPr>
      <w:r w:rsidRPr="00F809C7">
        <w:rPr>
          <w:lang w:val="es-419"/>
        </w:rPr>
        <w:t>En cumplimiento de la Sentencia Interpretativa 3 (TP-SA-SENIT) de diciembre de 2022, se elaboró la Guía para Notificaciones con Pertinencia, acompañada de una infografía que explica la ruta institucional con enfoque diferencial.</w:t>
      </w:r>
    </w:p>
    <w:p w14:paraId="70973ADB" w14:textId="77777777" w:rsidR="00830DAA" w:rsidRPr="00F809C7" w:rsidRDefault="00830DAA" w:rsidP="00830DAA">
      <w:pPr>
        <w:spacing w:line="276" w:lineRule="auto"/>
        <w:jc w:val="both"/>
        <w:rPr>
          <w:lang w:val="es-419"/>
        </w:rPr>
      </w:pPr>
      <w:r w:rsidRPr="00F809C7">
        <w:rPr>
          <w:lang w:val="es-419"/>
        </w:rPr>
        <w:t>El propósito de esta guía es establecer las orientaciones para realizar correctamente las notificaciones y comunicaciones con enfoque diferencial</w:t>
      </w:r>
      <w:r w:rsidRPr="004447AD">
        <w:rPr>
          <w:rStyle w:val="Refdenotaalpie"/>
          <w:lang w:val="es-CO"/>
        </w:rPr>
        <w:footnoteReference w:id="6"/>
      </w:r>
      <w:r w:rsidRPr="00F809C7">
        <w:rPr>
          <w:lang w:val="es-419"/>
        </w:rPr>
        <w:t>, especialmente en los casos que involucren a personas con discapacidad.</w:t>
      </w:r>
      <w:r w:rsidRPr="004447AD">
        <w:rPr>
          <w:lang w:val="es-419"/>
        </w:rPr>
        <w:t xml:space="preserve"> </w:t>
      </w:r>
      <w:r w:rsidRPr="00F809C7">
        <w:rPr>
          <w:lang w:val="es-419"/>
        </w:rPr>
        <w:t>Su aplicación abarca todos los documentos de la Jurisdicción Especial para la Paz que, por su contenido, deban ser enviados para notificación o comunicación con dicho enfoque.</w:t>
      </w:r>
    </w:p>
    <w:p w14:paraId="74B9DA8B" w14:textId="77777777" w:rsidR="00830DAA" w:rsidRPr="00F809C7" w:rsidRDefault="00830DAA" w:rsidP="00830DAA">
      <w:pPr>
        <w:spacing w:line="276" w:lineRule="auto"/>
        <w:jc w:val="both"/>
        <w:rPr>
          <w:lang w:val="es-419"/>
        </w:rPr>
      </w:pPr>
      <w:r w:rsidRPr="00F809C7">
        <w:rPr>
          <w:lang w:val="es-419"/>
        </w:rPr>
        <w:t>En otras palabras, esta guía</w:t>
      </w:r>
      <w:r w:rsidRPr="004447AD">
        <w:rPr>
          <w:lang w:val="es-419"/>
        </w:rPr>
        <w:t xml:space="preserve"> de notificación y comunicación con pertinencia</w:t>
      </w:r>
      <w:r w:rsidRPr="00F809C7">
        <w:rPr>
          <w:lang w:val="es-419"/>
        </w:rPr>
        <w:t xml:space="preserve"> busca garantizar que las decisiones judiciales se comuniquen de manera accesible, clara y adecuada a las necesidades de las personas con discapacidad vinculadas a los procedimientos de la JEP</w:t>
      </w:r>
      <w:r w:rsidRPr="009126A8">
        <w:rPr>
          <w:rStyle w:val="Refdenotaalpie"/>
          <w:lang w:val="es-CO"/>
        </w:rPr>
        <w:footnoteReference w:id="7"/>
      </w:r>
      <w:r w:rsidRPr="009126A8">
        <w:rPr>
          <w:lang w:val="es-CO"/>
        </w:rPr>
        <w:t xml:space="preserve">. </w:t>
      </w:r>
    </w:p>
    <w:p w14:paraId="1901F16C" w14:textId="77777777" w:rsidR="00830DAA" w:rsidRPr="009126A8" w:rsidRDefault="00830DAA" w:rsidP="00830DAA">
      <w:pPr>
        <w:pStyle w:val="Ttulo4"/>
        <w:numPr>
          <w:ilvl w:val="0"/>
          <w:numId w:val="7"/>
        </w:numPr>
        <w:tabs>
          <w:tab w:val="num" w:pos="360"/>
          <w:tab w:val="num" w:pos="1080"/>
        </w:tabs>
        <w:spacing w:line="276" w:lineRule="auto"/>
        <w:ind w:left="1080" w:firstLine="0"/>
        <w:rPr>
          <w:lang w:val="es-CO"/>
        </w:rPr>
      </w:pPr>
      <w:r w:rsidRPr="009126A8">
        <w:rPr>
          <w:lang w:val="es-CO"/>
        </w:rPr>
        <w:t>Ajustes implementados</w:t>
      </w:r>
    </w:p>
    <w:p w14:paraId="7A977780" w14:textId="77777777" w:rsidR="00830DAA" w:rsidRPr="009126A8" w:rsidRDefault="00830DAA" w:rsidP="00830DAA">
      <w:pPr>
        <w:pStyle w:val="Prrafodelista"/>
        <w:numPr>
          <w:ilvl w:val="0"/>
          <w:numId w:val="8"/>
        </w:numPr>
        <w:spacing w:line="276" w:lineRule="auto"/>
        <w:rPr>
          <w:lang w:val="es-CO"/>
        </w:rPr>
      </w:pPr>
      <w:r w:rsidRPr="009126A8">
        <w:rPr>
          <w:lang w:val="es-CO"/>
        </w:rPr>
        <w:t>Realización de ajustes razonables o ajustes procedimentales en las notificaciones a Personas con Discapacidad.</w:t>
      </w:r>
    </w:p>
    <w:p w14:paraId="1FD05D57" w14:textId="77777777" w:rsidR="00830DAA" w:rsidRPr="009126A8" w:rsidRDefault="00830DAA" w:rsidP="00830DAA">
      <w:pPr>
        <w:pStyle w:val="Prrafodelista"/>
        <w:numPr>
          <w:ilvl w:val="0"/>
          <w:numId w:val="8"/>
        </w:numPr>
        <w:spacing w:line="276" w:lineRule="auto"/>
        <w:rPr>
          <w:lang w:val="es-CO"/>
        </w:rPr>
      </w:pPr>
      <w:r w:rsidRPr="009126A8">
        <w:rPr>
          <w:lang w:val="es-CO"/>
        </w:rPr>
        <w:t>La implementación de medidas diferenciales que atiendan las particularidades de las Personas con Discapacidad y tiene en cuenta sus características interseccionales como el género, la edad y la pertenencia étnica, entre otros, para ser atendidas desde la perspectiva interseccional.</w:t>
      </w:r>
    </w:p>
    <w:p w14:paraId="1799A58E" w14:textId="77777777" w:rsidR="00830DAA" w:rsidRPr="009126A8" w:rsidRDefault="00830DAA" w:rsidP="00830DAA">
      <w:pPr>
        <w:pStyle w:val="Prrafodelista"/>
        <w:numPr>
          <w:ilvl w:val="0"/>
          <w:numId w:val="8"/>
        </w:numPr>
        <w:spacing w:after="160" w:line="276" w:lineRule="auto"/>
        <w:jc w:val="both"/>
        <w:rPr>
          <w:lang w:val="es-CO"/>
        </w:rPr>
      </w:pPr>
      <w:r w:rsidRPr="009126A8">
        <w:rPr>
          <w:lang w:val="es-CO"/>
        </w:rPr>
        <w:t xml:space="preserve">El diseño de herramientas metodológicas y la adecuación de contenidos de los mensajes a trasmitir de manera que, la persona participante en el espacio de notificación o comunicación comprenda los alcances de la decisión judicial y el trámite procesal ante la Jurisdicción, como por ejemplo el uso de lenguaje claro e </w:t>
      </w:r>
      <w:r w:rsidRPr="009126A8">
        <w:rPr>
          <w:lang w:val="es-CO"/>
        </w:rPr>
        <w:lastRenderedPageBreak/>
        <w:t>incluyente, resúmenes de las órdenes judiciales en audio, la presencia de apoyos durante la diligencia judicial.</w:t>
      </w:r>
    </w:p>
    <w:p w14:paraId="7C70EEFB" w14:textId="77777777" w:rsidR="00830DAA" w:rsidRPr="009126A8" w:rsidRDefault="00830DAA" w:rsidP="00830DAA">
      <w:pPr>
        <w:pStyle w:val="Prrafodelista"/>
        <w:numPr>
          <w:ilvl w:val="0"/>
          <w:numId w:val="8"/>
        </w:numPr>
        <w:spacing w:line="276" w:lineRule="auto"/>
        <w:rPr>
          <w:lang w:val="es-CO"/>
        </w:rPr>
      </w:pPr>
      <w:r w:rsidRPr="009126A8">
        <w:rPr>
          <w:lang w:val="es-CO"/>
        </w:rPr>
        <w:t>Garantizar acceso y accesibilidad, como condiciones y medidas pertinentes, tanto de las instalaciones como de los servicios de información, para adaptar el entorno, objetos, herramientas y utensilios a las necesidades de las personas con discapacidad, en igualdad de condiciones.</w:t>
      </w:r>
    </w:p>
    <w:p w14:paraId="138D0E72" w14:textId="77777777" w:rsidR="00830DAA" w:rsidRPr="009126A8" w:rsidRDefault="00830DAA" w:rsidP="00830DAA">
      <w:pPr>
        <w:spacing w:line="276" w:lineRule="auto"/>
        <w:jc w:val="both"/>
        <w:rPr>
          <w:lang w:val="es-CO"/>
        </w:rPr>
      </w:pPr>
      <w:bookmarkStart w:id="6" w:name="_Toc210414433"/>
      <w:r w:rsidRPr="009126A8">
        <w:rPr>
          <w:rStyle w:val="Ttulo3Car"/>
          <w:lang w:val="es-CO"/>
        </w:rPr>
        <w:t>Caso 2:</w:t>
      </w:r>
      <w:bookmarkEnd w:id="6"/>
      <w:r w:rsidRPr="009126A8">
        <w:rPr>
          <w:lang w:val="es-CO"/>
        </w:rPr>
        <w:t xml:space="preserve"> Auto TP </w:t>
      </w:r>
      <w:proofErr w:type="spellStart"/>
      <w:r w:rsidRPr="009126A8">
        <w:rPr>
          <w:lang w:val="es-CO"/>
        </w:rPr>
        <w:t>SeRVR</w:t>
      </w:r>
      <w:proofErr w:type="spellEnd"/>
      <w:r w:rsidRPr="009126A8">
        <w:rPr>
          <w:lang w:val="es-CO"/>
        </w:rPr>
        <w:t xml:space="preserve"> RC – AS JRMV-021-2024: Análisis de Iniciativas de proyectos</w:t>
      </w:r>
      <w:r>
        <w:rPr>
          <w:lang w:val="es-CO"/>
        </w:rPr>
        <w:t xml:space="preserve"> </w:t>
      </w:r>
      <w:r w:rsidRPr="0083549B">
        <w:rPr>
          <w:lang w:val="es-CO"/>
        </w:rPr>
        <w:t>restaurativos</w:t>
      </w:r>
      <w:r w:rsidRPr="009126A8">
        <w:rPr>
          <w:lang w:val="es-CO"/>
        </w:rPr>
        <w:t xml:space="preserve"> Caso Conjunto 03 – 04  OAED</w:t>
      </w:r>
      <w:r w:rsidRPr="009126A8">
        <w:rPr>
          <w:rStyle w:val="Refdenotaalpie"/>
          <w:lang w:val="es-CO"/>
        </w:rPr>
        <w:footnoteReference w:id="8"/>
      </w:r>
      <w:r w:rsidRPr="009126A8">
        <w:rPr>
          <w:lang w:val="es-CO"/>
        </w:rPr>
        <w:t xml:space="preserve">: </w:t>
      </w:r>
    </w:p>
    <w:p w14:paraId="256FD740" w14:textId="3616B0E2" w:rsidR="00830DAA" w:rsidRPr="009126A8" w:rsidRDefault="00830DAA" w:rsidP="00830DAA">
      <w:pPr>
        <w:spacing w:line="276" w:lineRule="auto"/>
        <w:jc w:val="both"/>
        <w:rPr>
          <w:lang w:val="es-CO"/>
        </w:rPr>
      </w:pPr>
      <w:r w:rsidRPr="009126A8">
        <w:rPr>
          <w:lang w:val="es-CO"/>
        </w:rPr>
        <w:t xml:space="preserve">Por solicitud del </w:t>
      </w:r>
      <w:r>
        <w:rPr>
          <w:lang w:val="es-CO"/>
        </w:rPr>
        <w:t>d</w:t>
      </w:r>
      <w:r w:rsidRPr="009126A8">
        <w:rPr>
          <w:lang w:val="es-CO"/>
        </w:rPr>
        <w:t xml:space="preserve">espacho del </w:t>
      </w:r>
      <w:r>
        <w:rPr>
          <w:lang w:val="es-CO"/>
        </w:rPr>
        <w:t>m</w:t>
      </w:r>
      <w:r w:rsidRPr="009126A8">
        <w:rPr>
          <w:lang w:val="es-CO"/>
        </w:rPr>
        <w:t xml:space="preserve">agistrado Juan Ramón Martínez se realizó análisis de las iniciativas de proyectos restaurativos de los </w:t>
      </w:r>
      <w:proofErr w:type="spellStart"/>
      <w:r w:rsidRPr="009126A8">
        <w:rPr>
          <w:lang w:val="es-CO"/>
        </w:rPr>
        <w:t>macrocasos</w:t>
      </w:r>
      <w:proofErr w:type="spellEnd"/>
      <w:r w:rsidRPr="009126A8">
        <w:rPr>
          <w:lang w:val="es-CO"/>
        </w:rPr>
        <w:t xml:space="preserve"> conjuntos 03</w:t>
      </w:r>
      <w:r w:rsidR="00D839D4">
        <w:rPr>
          <w:rStyle w:val="Refdenotaalpie"/>
          <w:lang w:val="es-CO"/>
        </w:rPr>
        <w:footnoteReference w:id="9"/>
      </w:r>
      <w:r w:rsidRPr="009126A8">
        <w:rPr>
          <w:lang w:val="es-CO"/>
        </w:rPr>
        <w:t xml:space="preserve"> y 04</w:t>
      </w:r>
      <w:r w:rsidR="00D839D4">
        <w:rPr>
          <w:rStyle w:val="Refdenotaalpie"/>
          <w:lang w:val="es-CO"/>
        </w:rPr>
        <w:footnoteReference w:id="10"/>
      </w:r>
      <w:r w:rsidRPr="009126A8">
        <w:rPr>
          <w:lang w:val="es-CO"/>
        </w:rPr>
        <w:t>, garantizando la incorporación de los enfoques diferenciales y</w:t>
      </w:r>
      <w:r>
        <w:rPr>
          <w:lang w:val="es-CO"/>
        </w:rPr>
        <w:t>,</w:t>
      </w:r>
      <w:r w:rsidRPr="009126A8">
        <w:rPr>
          <w:lang w:val="es-CO"/>
        </w:rPr>
        <w:t xml:space="preserve"> para el caso particular</w:t>
      </w:r>
      <w:r>
        <w:rPr>
          <w:lang w:val="es-CO"/>
        </w:rPr>
        <w:t>,</w:t>
      </w:r>
      <w:r w:rsidRPr="009126A8">
        <w:rPr>
          <w:lang w:val="es-CO"/>
        </w:rPr>
        <w:t xml:space="preserve"> el enfoque de Personas con Discapacidad. </w:t>
      </w:r>
    </w:p>
    <w:p w14:paraId="4EA16FB1" w14:textId="77777777" w:rsidR="00830DAA" w:rsidRPr="009126A8" w:rsidRDefault="00830DAA" w:rsidP="00830DAA">
      <w:pPr>
        <w:spacing w:line="276" w:lineRule="auto"/>
        <w:jc w:val="both"/>
        <w:rPr>
          <w:lang w:val="es-CO"/>
        </w:rPr>
      </w:pPr>
      <w:r w:rsidRPr="009126A8">
        <w:rPr>
          <w:lang w:val="es-CO"/>
        </w:rPr>
        <w:t>El análisis abord</w:t>
      </w:r>
      <w:r>
        <w:rPr>
          <w:lang w:val="es-CO"/>
        </w:rPr>
        <w:t>ó</w:t>
      </w:r>
      <w:r w:rsidRPr="009126A8">
        <w:rPr>
          <w:lang w:val="es-CO"/>
        </w:rPr>
        <w:t xml:space="preserve"> seis iniciativas de proyectos restaurativos, propuestos por comparecientes de fuerza pública en el marco de las sanciones propias, por hechos cometidos entre 1997 y 2007; las observaciones y recomendaciones tienen como propósito propender por la implementación de estrategias inclusivas y restaurativas que respondan a las necesidades específicas de las víctimas y comparecientes, reconocimiento sus características particulares y promoviendo su participación activa. </w:t>
      </w:r>
    </w:p>
    <w:p w14:paraId="2246B10B" w14:textId="77777777" w:rsidR="00830DAA" w:rsidRPr="009126A8" w:rsidRDefault="00830DAA" w:rsidP="00830DAA">
      <w:pPr>
        <w:pStyle w:val="Ttulo4"/>
        <w:numPr>
          <w:ilvl w:val="0"/>
          <w:numId w:val="9"/>
        </w:numPr>
        <w:tabs>
          <w:tab w:val="num" w:pos="360"/>
          <w:tab w:val="num" w:pos="720"/>
        </w:tabs>
        <w:spacing w:line="276" w:lineRule="auto"/>
        <w:ind w:left="0" w:firstLine="0"/>
        <w:rPr>
          <w:lang w:val="es-CO"/>
        </w:rPr>
      </w:pPr>
      <w:r w:rsidRPr="009126A8">
        <w:rPr>
          <w:lang w:val="es-CO"/>
        </w:rPr>
        <w:t>Ajustes implementados</w:t>
      </w:r>
    </w:p>
    <w:p w14:paraId="0D02C160" w14:textId="77777777" w:rsidR="00830DAA" w:rsidRPr="009126A8" w:rsidRDefault="00830DAA" w:rsidP="00830DAA">
      <w:pPr>
        <w:pStyle w:val="Prrafodelista"/>
        <w:numPr>
          <w:ilvl w:val="0"/>
          <w:numId w:val="10"/>
        </w:numPr>
        <w:spacing w:line="276" w:lineRule="auto"/>
        <w:jc w:val="both"/>
        <w:rPr>
          <w:lang w:val="es-CO"/>
        </w:rPr>
      </w:pPr>
      <w:r w:rsidRPr="009126A8">
        <w:rPr>
          <w:lang w:val="es-CO"/>
        </w:rPr>
        <w:t>En el análisis se destacan los principios de acción sin daño, interseccionalidad y la integración de ajustes razonables en la planeación y ejecución de los proyectos, garantizando un abordaje integral y sensible, respetando las experiencias de las víctimas y promoviendo procesos de reparación efectivos y sostenibles, considerando a las víctimas y comparecientes con discapacidad.</w:t>
      </w:r>
    </w:p>
    <w:p w14:paraId="3DC13334" w14:textId="77777777" w:rsidR="00830DAA" w:rsidRPr="009126A8" w:rsidRDefault="00830DAA" w:rsidP="00830DAA">
      <w:pPr>
        <w:pStyle w:val="Prrafodelista"/>
        <w:numPr>
          <w:ilvl w:val="0"/>
          <w:numId w:val="10"/>
        </w:numPr>
        <w:spacing w:line="276" w:lineRule="auto"/>
        <w:jc w:val="both"/>
        <w:rPr>
          <w:lang w:val="es-CO"/>
        </w:rPr>
      </w:pPr>
      <w:r>
        <w:rPr>
          <w:lang w:val="es-CO"/>
        </w:rPr>
        <w:t>Se</w:t>
      </w:r>
      <w:r w:rsidRPr="009126A8">
        <w:rPr>
          <w:lang w:val="es-CO"/>
        </w:rPr>
        <w:t xml:space="preserve"> enfatizó en los ajustes razonables, modificaciones y adaptaciones necesarias, requeridas </w:t>
      </w:r>
      <w:r w:rsidRPr="008D3154">
        <w:rPr>
          <w:b/>
          <w:bCs/>
          <w:lang w:val="es-CO"/>
        </w:rPr>
        <w:t>por cada participante con discapacidad</w:t>
      </w:r>
      <w:r w:rsidRPr="009126A8">
        <w:rPr>
          <w:lang w:val="es-CO"/>
        </w:rPr>
        <w:t xml:space="preserve">, que le permitan el acceso para el desarrollo de las distintas actividades. </w:t>
      </w:r>
    </w:p>
    <w:p w14:paraId="37D615A0" w14:textId="77777777" w:rsidR="00830DAA" w:rsidRPr="009126A8" w:rsidRDefault="00830DAA" w:rsidP="00830DAA">
      <w:pPr>
        <w:pStyle w:val="Prrafodelista"/>
        <w:numPr>
          <w:ilvl w:val="0"/>
          <w:numId w:val="10"/>
        </w:numPr>
        <w:spacing w:line="276" w:lineRule="auto"/>
        <w:jc w:val="both"/>
        <w:rPr>
          <w:lang w:val="es-CO"/>
        </w:rPr>
      </w:pPr>
      <w:r w:rsidRPr="009126A8">
        <w:rPr>
          <w:lang w:val="es-CO"/>
        </w:rPr>
        <w:lastRenderedPageBreak/>
        <w:t>El análisis incluyó cambios en el espacio físico, otorgar ayudas técnicas, brindar servicios de apoyo, la adaptación de herramientas, ajustes en la organización y/o ajustes de tiempos en función a las características de cada Persona con Discapacidad.</w:t>
      </w:r>
    </w:p>
    <w:p w14:paraId="2B087CC2" w14:textId="77777777" w:rsidR="00830DAA" w:rsidRPr="009126A8" w:rsidRDefault="00830DAA" w:rsidP="00830DAA">
      <w:pPr>
        <w:spacing w:line="276" w:lineRule="auto"/>
        <w:jc w:val="both"/>
        <w:rPr>
          <w:lang w:val="es-CO"/>
        </w:rPr>
      </w:pPr>
      <w:bookmarkStart w:id="7" w:name="_Toc210414434"/>
      <w:r w:rsidRPr="009126A8">
        <w:rPr>
          <w:rStyle w:val="Ttulo3Car"/>
          <w:lang w:val="es-CO"/>
        </w:rPr>
        <w:t>Caso 3:</w:t>
      </w:r>
      <w:bookmarkEnd w:id="7"/>
      <w:r w:rsidRPr="009126A8">
        <w:rPr>
          <w:lang w:val="es-CO"/>
        </w:rPr>
        <w:t xml:space="preserve"> Auto SRT-SB-AMG-537 2025</w:t>
      </w:r>
      <w:r w:rsidRPr="009126A8">
        <w:rPr>
          <w:rStyle w:val="Refdenotaalpie"/>
          <w:lang w:val="es-CO"/>
        </w:rPr>
        <w:footnoteReference w:id="11"/>
      </w:r>
      <w:r w:rsidRPr="009126A8">
        <w:rPr>
          <w:lang w:val="es-CO"/>
        </w:rPr>
        <w:t xml:space="preserve">: la Sección de Revisión del Tribunal </w:t>
      </w:r>
      <w:r>
        <w:rPr>
          <w:lang w:val="es-CO"/>
        </w:rPr>
        <w:t>para la</w:t>
      </w:r>
      <w:r w:rsidRPr="009126A8">
        <w:rPr>
          <w:lang w:val="es-CO"/>
        </w:rPr>
        <w:t xml:space="preserve"> Paz, requiere a la Secretaria Ejecutiva, lineamientos a seguir en casos que involucren a comparecientes con discapacidad psicosocial. </w:t>
      </w:r>
    </w:p>
    <w:p w14:paraId="7FA6EBF3" w14:textId="77777777" w:rsidR="00830DAA" w:rsidRPr="009126A8" w:rsidRDefault="00830DAA" w:rsidP="00830DAA">
      <w:pPr>
        <w:spacing w:line="276" w:lineRule="auto"/>
        <w:jc w:val="both"/>
        <w:rPr>
          <w:lang w:val="es-CO"/>
        </w:rPr>
      </w:pPr>
      <w:r w:rsidRPr="009126A8">
        <w:rPr>
          <w:lang w:val="es-CO"/>
        </w:rPr>
        <w:t xml:space="preserve">En tal sentido la OAED, genera su respuesta a partir de un análisis del contexto general de la situación de la compareciente, en particular, construido desde los datos del certificado de discapacidad y la historia clínica, la definición del concepto de discapacidad psicosocial y sus tipos y las recomendaciones de relacionamiento para servidores que atienden Personas con Discapacidad psicosocial, particularmente personas con secuelas de accidente cerebro vascular.  </w:t>
      </w:r>
    </w:p>
    <w:p w14:paraId="41B6C270" w14:textId="77777777" w:rsidR="00830DAA" w:rsidRPr="009126A8" w:rsidRDefault="00830DAA" w:rsidP="00830DAA">
      <w:pPr>
        <w:pStyle w:val="Ttulo4"/>
        <w:numPr>
          <w:ilvl w:val="0"/>
          <w:numId w:val="11"/>
        </w:numPr>
        <w:tabs>
          <w:tab w:val="num" w:pos="360"/>
          <w:tab w:val="num" w:pos="1440"/>
        </w:tabs>
        <w:spacing w:line="276" w:lineRule="auto"/>
        <w:ind w:left="1440" w:firstLine="0"/>
        <w:rPr>
          <w:lang w:val="es-CO"/>
        </w:rPr>
      </w:pPr>
      <w:r w:rsidRPr="009126A8">
        <w:rPr>
          <w:lang w:val="es-CO"/>
        </w:rPr>
        <w:t>Ajustes implementados</w:t>
      </w:r>
    </w:p>
    <w:p w14:paraId="1B4E1197" w14:textId="77777777" w:rsidR="00830DAA" w:rsidRPr="009126A8" w:rsidRDefault="00830DAA" w:rsidP="00830DAA">
      <w:pPr>
        <w:pStyle w:val="Prrafodelista"/>
        <w:numPr>
          <w:ilvl w:val="0"/>
          <w:numId w:val="12"/>
        </w:numPr>
        <w:spacing w:line="276" w:lineRule="auto"/>
        <w:jc w:val="both"/>
        <w:rPr>
          <w:lang w:val="es-CO"/>
        </w:rPr>
      </w:pPr>
      <w:r w:rsidRPr="009126A8">
        <w:rPr>
          <w:lang w:val="es-CO"/>
        </w:rPr>
        <w:t xml:space="preserve">Se efectúa revisión de la historia clínica, con énfasis en el diagnóstico médico psiquiátrico, el estudio del perfil de funcionamiento del certificado de discapacidad, en cada uno de los códigos registrados, para establecer los posibles ajustes y las recomendaciones pertinentes. </w:t>
      </w:r>
    </w:p>
    <w:p w14:paraId="1D058B99" w14:textId="77777777" w:rsidR="00830DAA" w:rsidRPr="009126A8" w:rsidRDefault="00830DAA" w:rsidP="00830DAA">
      <w:pPr>
        <w:pStyle w:val="Prrafodelista"/>
        <w:numPr>
          <w:ilvl w:val="0"/>
          <w:numId w:val="12"/>
        </w:numPr>
        <w:spacing w:line="276" w:lineRule="auto"/>
        <w:jc w:val="both"/>
        <w:rPr>
          <w:lang w:val="es-CO"/>
        </w:rPr>
      </w:pPr>
      <w:r w:rsidRPr="009126A8">
        <w:rPr>
          <w:lang w:val="es-CO"/>
        </w:rPr>
        <w:t>Se explica al despacho en detalle qué es la discapacidad psicosocial y los tipos de trastornos, para una mejor comprensión del análisis y las recomendaciones, específicas del caso, y mencionar las recomendaciones de relacionamiento, de carácter general, frente a la estrategia de comunicaciones, del apoyo emocional y social, respecto al fomento de la independencia y desde el enfoque del paciente.</w:t>
      </w:r>
    </w:p>
    <w:p w14:paraId="78C939D4" w14:textId="77777777" w:rsidR="00830DAA" w:rsidRPr="009126A8" w:rsidRDefault="00830DAA" w:rsidP="00830DAA">
      <w:pPr>
        <w:pStyle w:val="Prrafodelista"/>
        <w:numPr>
          <w:ilvl w:val="0"/>
          <w:numId w:val="12"/>
        </w:numPr>
        <w:spacing w:line="276" w:lineRule="auto"/>
        <w:jc w:val="both"/>
        <w:rPr>
          <w:lang w:val="es-CO"/>
        </w:rPr>
      </w:pPr>
      <w:r w:rsidRPr="009126A8">
        <w:rPr>
          <w:lang w:val="es-CO"/>
        </w:rPr>
        <w:t xml:space="preserve">Se recomienda valoración por medicina legal como ente competente, ampliar la caracterización de las condiciones de salud, extender el análisis a su red de apoyo, establecer la posibilidad de un apoyo judicial, evaluar el porcentaje de valoración de la escala de Barthel para determinar la capacidad de comparecencia ante el tribunal, y la importancia de no imponer una mayor carga estresante a la compareciente. </w:t>
      </w:r>
    </w:p>
    <w:p w14:paraId="5ABC84A2" w14:textId="77777777" w:rsidR="00830DAA" w:rsidRPr="009126A8" w:rsidRDefault="00830DAA" w:rsidP="00830DAA">
      <w:pPr>
        <w:spacing w:line="276" w:lineRule="auto"/>
        <w:jc w:val="both"/>
        <w:rPr>
          <w:lang w:val="es-CO"/>
        </w:rPr>
      </w:pPr>
      <w:bookmarkStart w:id="8" w:name="_Toc210414435"/>
      <w:r w:rsidRPr="009126A8">
        <w:rPr>
          <w:rStyle w:val="Ttulo3Car"/>
          <w:lang w:val="es-CO"/>
        </w:rPr>
        <w:t>Caso 4</w:t>
      </w:r>
      <w:bookmarkEnd w:id="8"/>
      <w:r w:rsidRPr="009126A8">
        <w:rPr>
          <w:lang w:val="es-CO"/>
        </w:rPr>
        <w:t>: Acción Afirmativa Comité Nacional de Lisiados de Guerra, Personas Mayores y con Enfermedades de Alto Costo – CONELAEC</w:t>
      </w:r>
      <w:r w:rsidRPr="009126A8">
        <w:rPr>
          <w:rStyle w:val="Refdenotaalpie"/>
          <w:lang w:val="es-CO"/>
        </w:rPr>
        <w:footnoteReference w:id="12"/>
      </w:r>
      <w:r w:rsidRPr="009126A8">
        <w:rPr>
          <w:lang w:val="es-CO"/>
        </w:rPr>
        <w:t>: la Oficina Asesora de Enfoques Diferenciales present</w:t>
      </w:r>
      <w:r>
        <w:rPr>
          <w:lang w:val="es-CO"/>
        </w:rPr>
        <w:t>ó una</w:t>
      </w:r>
      <w:r w:rsidRPr="009126A8">
        <w:rPr>
          <w:lang w:val="es-CO"/>
        </w:rPr>
        <w:t xml:space="preserve"> Acción Afirmativa ante la Sala de Amnistía e Indulto </w:t>
      </w:r>
      <w:r>
        <w:rPr>
          <w:lang w:val="es-CO"/>
        </w:rPr>
        <w:t xml:space="preserve">para </w:t>
      </w:r>
      <w:r w:rsidRPr="009126A8">
        <w:rPr>
          <w:lang w:val="es-CO"/>
        </w:rPr>
        <w:lastRenderedPageBreak/>
        <w:t>solicit</w:t>
      </w:r>
      <w:r>
        <w:rPr>
          <w:lang w:val="es-CO"/>
        </w:rPr>
        <w:t>ar</w:t>
      </w:r>
      <w:r w:rsidRPr="009126A8">
        <w:rPr>
          <w:lang w:val="es-CO"/>
        </w:rPr>
        <w:t xml:space="preserve"> la amnistía a 60 ex combatientes de las antiguas F</w:t>
      </w:r>
      <w:r>
        <w:rPr>
          <w:lang w:val="es-CO"/>
        </w:rPr>
        <w:t>arc-</w:t>
      </w:r>
      <w:r w:rsidRPr="009126A8">
        <w:rPr>
          <w:lang w:val="es-CO"/>
        </w:rPr>
        <w:t>EP, personas con discapacidad, personas mayores o personas con enfermedades de alto costo.</w:t>
      </w:r>
    </w:p>
    <w:p w14:paraId="0D391631" w14:textId="77777777" w:rsidR="00830DAA" w:rsidRPr="009126A8" w:rsidRDefault="00830DAA" w:rsidP="00830DAA">
      <w:pPr>
        <w:pStyle w:val="Ttulo4"/>
        <w:numPr>
          <w:ilvl w:val="0"/>
          <w:numId w:val="13"/>
        </w:numPr>
        <w:tabs>
          <w:tab w:val="num" w:pos="360"/>
        </w:tabs>
        <w:spacing w:line="276" w:lineRule="auto"/>
        <w:ind w:left="360" w:firstLine="0"/>
        <w:rPr>
          <w:lang w:val="es-CO"/>
        </w:rPr>
      </w:pPr>
      <w:r w:rsidRPr="009126A8">
        <w:rPr>
          <w:lang w:val="es-CO"/>
        </w:rPr>
        <w:t>Ajustes implementados</w:t>
      </w:r>
    </w:p>
    <w:p w14:paraId="62151962" w14:textId="77777777" w:rsidR="00830DAA" w:rsidRPr="009126A8" w:rsidRDefault="00830DAA" w:rsidP="00830DAA">
      <w:pPr>
        <w:pStyle w:val="Prrafodelista"/>
        <w:numPr>
          <w:ilvl w:val="0"/>
          <w:numId w:val="14"/>
        </w:numPr>
        <w:spacing w:line="276" w:lineRule="auto"/>
        <w:jc w:val="both"/>
        <w:rPr>
          <w:lang w:val="es-CO"/>
        </w:rPr>
      </w:pPr>
      <w:r w:rsidRPr="009126A8">
        <w:rPr>
          <w:lang w:val="es-CO"/>
        </w:rPr>
        <w:t xml:space="preserve">Se solicita un análisis jurídico colectivo de 60 personas, que dé cuenta de las solicitudes de amnistía e indulto de aquellos firmantes y comparecientes que tienen procesos judiciales vigentes en la justicia ordinaria por delitos amnistiables, con el objetivo de sentar un precedente respecto a la forma en que la JEP materializa el acceso a la justicia de las personas con discapacidad. </w:t>
      </w:r>
    </w:p>
    <w:p w14:paraId="5E7BBEA9" w14:textId="77777777" w:rsidR="00830DAA" w:rsidRPr="009126A8" w:rsidRDefault="00830DAA" w:rsidP="00830DAA">
      <w:pPr>
        <w:pStyle w:val="Prrafodelista"/>
        <w:numPr>
          <w:ilvl w:val="0"/>
          <w:numId w:val="14"/>
        </w:numPr>
        <w:spacing w:line="276" w:lineRule="auto"/>
        <w:jc w:val="both"/>
        <w:rPr>
          <w:lang w:val="es-CO"/>
        </w:rPr>
      </w:pPr>
      <w:r w:rsidRPr="009126A8">
        <w:rPr>
          <w:lang w:val="es-CO"/>
        </w:rPr>
        <w:t xml:space="preserve">En ningún caso se pretende indicar que tener discapacidad sea una razón suficiente para obtener la amnistía o el indulto; por el contrario, se busca potenciar una acción de análisis jurídico colectivo que reconozca su forma de organización y facilite el acceso a una representación judicial unificada y pertinente que comprenda sus necesidades particulares y les permita transitar de manera adecuada por el proceso transicional en esta jurisdicción. </w:t>
      </w:r>
    </w:p>
    <w:p w14:paraId="4C4E2F1D" w14:textId="77777777" w:rsidR="00830DAA" w:rsidRPr="009126A8" w:rsidRDefault="00830DAA" w:rsidP="00830DAA">
      <w:pPr>
        <w:pStyle w:val="Prrafodelista"/>
        <w:numPr>
          <w:ilvl w:val="0"/>
          <w:numId w:val="14"/>
        </w:numPr>
        <w:spacing w:line="276" w:lineRule="auto"/>
        <w:jc w:val="both"/>
        <w:rPr>
          <w:lang w:val="es-CO"/>
        </w:rPr>
      </w:pPr>
      <w:r w:rsidRPr="009126A8">
        <w:rPr>
          <w:lang w:val="es-CO"/>
        </w:rPr>
        <w:t xml:space="preserve">Se realizan los apoyos institucionales necesarios para el trámite de la solicitud y el respectivo acompañamiento por parte de las Oficinas Asesora de Enfoques Diferenciales y del Sistema Autónomo de Asesoría y Defensa a Comparecientes para garantizar, los ajustes razonables y procedimentales necesarios y el debido proceso. </w:t>
      </w:r>
    </w:p>
    <w:p w14:paraId="6E723D94" w14:textId="77777777" w:rsidR="00830DAA" w:rsidRPr="009126A8" w:rsidRDefault="00830DAA" w:rsidP="00830DAA">
      <w:pPr>
        <w:spacing w:line="276" w:lineRule="auto"/>
        <w:jc w:val="both"/>
        <w:rPr>
          <w:lang w:val="es-CO"/>
        </w:rPr>
      </w:pPr>
      <w:bookmarkStart w:id="9" w:name="_Toc210414436"/>
      <w:r w:rsidRPr="009126A8">
        <w:rPr>
          <w:rStyle w:val="Ttulo3Car"/>
          <w:lang w:val="es-CO"/>
        </w:rPr>
        <w:t>Caso 5:</w:t>
      </w:r>
      <w:bookmarkEnd w:id="9"/>
      <w:r w:rsidRPr="009126A8">
        <w:rPr>
          <w:rStyle w:val="Ttulo3Car"/>
          <w:lang w:val="es-CO"/>
        </w:rPr>
        <w:t xml:space="preserve"> </w:t>
      </w:r>
      <w:r w:rsidRPr="009126A8">
        <w:rPr>
          <w:lang w:val="es-CO"/>
        </w:rPr>
        <w:t>Formación a los equipos de defensa de comparecientes y representación judicial de v</w:t>
      </w:r>
      <w:r>
        <w:rPr>
          <w:lang w:val="es-CO"/>
        </w:rPr>
        <w:t>í</w:t>
      </w:r>
      <w:r w:rsidRPr="009126A8">
        <w:rPr>
          <w:lang w:val="es-CO"/>
        </w:rPr>
        <w:t>ctimas:</w:t>
      </w:r>
    </w:p>
    <w:p w14:paraId="2FB15300" w14:textId="59E7DFA0" w:rsidR="00830DAA" w:rsidRPr="009126A8" w:rsidRDefault="00830DAA" w:rsidP="00830DAA">
      <w:pPr>
        <w:pStyle w:val="p1"/>
        <w:spacing w:line="276" w:lineRule="auto"/>
        <w:jc w:val="both"/>
        <w:rPr>
          <w:rFonts w:ascii="Palatino Linotype" w:eastAsiaTheme="minorEastAsia" w:hAnsi="Palatino Linotype" w:cstheme="minorBidi"/>
          <w:color w:val="auto"/>
          <w:sz w:val="22"/>
          <w:szCs w:val="22"/>
          <w:lang w:eastAsia="en-US"/>
        </w:rPr>
      </w:pPr>
      <w:r w:rsidRPr="009126A8">
        <w:rPr>
          <w:rFonts w:ascii="Palatino Linotype" w:eastAsiaTheme="minorEastAsia" w:hAnsi="Palatino Linotype" w:cstheme="minorBidi"/>
          <w:color w:val="auto"/>
          <w:sz w:val="22"/>
          <w:szCs w:val="22"/>
          <w:lang w:eastAsia="en-US"/>
        </w:rPr>
        <w:t xml:space="preserve">Para la JEP es fundamental que los abogados encargados de llevar a cabo estas diligencias estén debidamente capacitados y familiarizados con la aplicación del enfoque de discapacidad, comprendiendo las medidas diferenciales necesarias para garantizar el acceso a la información y otros derechos asociados; para ello </w:t>
      </w:r>
      <w:r>
        <w:rPr>
          <w:rFonts w:ascii="Palatino Linotype" w:eastAsiaTheme="minorEastAsia" w:hAnsi="Palatino Linotype" w:cstheme="minorBidi"/>
          <w:color w:val="auto"/>
          <w:sz w:val="22"/>
          <w:szCs w:val="22"/>
          <w:lang w:eastAsia="en-US"/>
        </w:rPr>
        <w:t xml:space="preserve">las </w:t>
      </w:r>
      <w:r w:rsidR="00D839D4">
        <w:rPr>
          <w:rFonts w:ascii="Palatino Linotype" w:eastAsiaTheme="minorEastAsia" w:hAnsi="Palatino Linotype" w:cstheme="minorBidi"/>
          <w:color w:val="auto"/>
          <w:sz w:val="22"/>
          <w:szCs w:val="22"/>
          <w:lang w:eastAsia="en-US"/>
        </w:rPr>
        <w:t>OA</w:t>
      </w:r>
      <w:r w:rsidRPr="009126A8">
        <w:rPr>
          <w:rFonts w:ascii="Palatino Linotype" w:eastAsiaTheme="minorEastAsia" w:hAnsi="Palatino Linotype" w:cstheme="minorBidi"/>
          <w:color w:val="auto"/>
          <w:sz w:val="22"/>
          <w:szCs w:val="22"/>
          <w:lang w:eastAsia="en-US"/>
        </w:rPr>
        <w:t>SAAD</w:t>
      </w:r>
      <w:r w:rsidR="00D839D4">
        <w:rPr>
          <w:rStyle w:val="Refdenotaalpie"/>
          <w:rFonts w:ascii="Palatino Linotype" w:eastAsiaTheme="minorEastAsia" w:hAnsi="Palatino Linotype" w:cstheme="minorBidi"/>
          <w:color w:val="auto"/>
          <w:sz w:val="22"/>
          <w:szCs w:val="22"/>
          <w:lang w:eastAsia="en-US"/>
        </w:rPr>
        <w:footnoteReference w:id="13"/>
      </w:r>
      <w:r>
        <w:rPr>
          <w:rFonts w:ascii="Palatino Linotype" w:eastAsiaTheme="minorEastAsia" w:hAnsi="Palatino Linotype" w:cstheme="minorBidi"/>
          <w:color w:val="auto"/>
          <w:sz w:val="22"/>
          <w:szCs w:val="22"/>
          <w:lang w:eastAsia="en-US"/>
        </w:rPr>
        <w:t xml:space="preserve"> </w:t>
      </w:r>
      <w:r w:rsidRPr="009126A8">
        <w:rPr>
          <w:rFonts w:ascii="Palatino Linotype" w:eastAsiaTheme="minorEastAsia" w:hAnsi="Palatino Linotype" w:cstheme="minorBidi"/>
          <w:color w:val="auto"/>
          <w:sz w:val="22"/>
          <w:szCs w:val="22"/>
          <w:lang w:eastAsia="en-US"/>
        </w:rPr>
        <w:t>, en sus componentes de Representación a Víct</w:t>
      </w:r>
      <w:r>
        <w:rPr>
          <w:rFonts w:ascii="Palatino Linotype" w:eastAsiaTheme="minorEastAsia" w:hAnsi="Palatino Linotype" w:cstheme="minorBidi"/>
          <w:color w:val="auto"/>
          <w:sz w:val="22"/>
          <w:szCs w:val="22"/>
          <w:lang w:eastAsia="en-US"/>
        </w:rPr>
        <w:t>i</w:t>
      </w:r>
      <w:r w:rsidRPr="009126A8">
        <w:rPr>
          <w:rFonts w:ascii="Palatino Linotype" w:eastAsiaTheme="minorEastAsia" w:hAnsi="Palatino Linotype" w:cstheme="minorBidi"/>
          <w:color w:val="auto"/>
          <w:sz w:val="22"/>
          <w:szCs w:val="22"/>
          <w:lang w:eastAsia="en-US"/>
        </w:rPr>
        <w:t>mas y Defensa a Comparecientes, ha elaborado un documento de</w:t>
      </w:r>
      <w:r>
        <w:rPr>
          <w:rFonts w:ascii="Palatino Linotype" w:eastAsiaTheme="minorEastAsia" w:hAnsi="Palatino Linotype" w:cstheme="minorBidi"/>
          <w:color w:val="auto"/>
          <w:sz w:val="22"/>
          <w:szCs w:val="22"/>
          <w:lang w:eastAsia="en-US"/>
        </w:rPr>
        <w:t xml:space="preserve"> </w:t>
      </w:r>
      <w:r w:rsidRPr="009126A8">
        <w:rPr>
          <w:rFonts w:ascii="Palatino Linotype" w:eastAsiaTheme="minorEastAsia" w:hAnsi="Palatino Linotype" w:cstheme="minorBidi"/>
          <w:color w:val="auto"/>
          <w:sz w:val="22"/>
          <w:szCs w:val="22"/>
          <w:lang w:eastAsia="en-US"/>
        </w:rPr>
        <w:t>lineamientos y recomendaciones que aseguren la efectividad y el respeto de los derechos de las personas con discapacidad.</w:t>
      </w:r>
    </w:p>
    <w:p w14:paraId="40C9E0C5" w14:textId="77777777" w:rsidR="00830DAA" w:rsidRPr="009126A8" w:rsidRDefault="00830DAA" w:rsidP="00830DAA">
      <w:pPr>
        <w:pStyle w:val="Ttulo4"/>
        <w:numPr>
          <w:ilvl w:val="0"/>
          <w:numId w:val="15"/>
        </w:numPr>
        <w:tabs>
          <w:tab w:val="num" w:pos="360"/>
        </w:tabs>
        <w:spacing w:line="276" w:lineRule="auto"/>
        <w:ind w:left="0" w:firstLine="0"/>
        <w:rPr>
          <w:lang w:val="es-CO"/>
        </w:rPr>
      </w:pPr>
      <w:r w:rsidRPr="009126A8">
        <w:rPr>
          <w:lang w:val="es-CO"/>
        </w:rPr>
        <w:t>Ajustes implementados</w:t>
      </w:r>
    </w:p>
    <w:p w14:paraId="1BC0C122" w14:textId="77777777" w:rsidR="00830DAA" w:rsidRPr="009126A8" w:rsidRDefault="00830DAA" w:rsidP="00830DAA">
      <w:pPr>
        <w:pStyle w:val="p1"/>
        <w:numPr>
          <w:ilvl w:val="0"/>
          <w:numId w:val="16"/>
        </w:numPr>
        <w:spacing w:line="276" w:lineRule="auto"/>
        <w:jc w:val="both"/>
        <w:rPr>
          <w:rFonts w:ascii="Palatino Linotype" w:eastAsiaTheme="minorEastAsia" w:hAnsi="Palatino Linotype" w:cstheme="minorBidi"/>
          <w:color w:val="auto"/>
          <w:sz w:val="22"/>
          <w:szCs w:val="22"/>
          <w:lang w:eastAsia="en-US"/>
        </w:rPr>
      </w:pPr>
      <w:r>
        <w:rPr>
          <w:rFonts w:ascii="Palatino Linotype" w:eastAsiaTheme="minorEastAsia" w:hAnsi="Palatino Linotype" w:cstheme="minorBidi"/>
          <w:color w:val="auto"/>
          <w:sz w:val="22"/>
          <w:szCs w:val="22"/>
          <w:lang w:eastAsia="en-US"/>
        </w:rPr>
        <w:t>L</w:t>
      </w:r>
      <w:r w:rsidRPr="009126A8">
        <w:rPr>
          <w:rFonts w:ascii="Palatino Linotype" w:eastAsiaTheme="minorEastAsia" w:hAnsi="Palatino Linotype" w:cstheme="minorBidi"/>
          <w:color w:val="auto"/>
          <w:sz w:val="22"/>
          <w:szCs w:val="22"/>
          <w:lang w:eastAsia="en-US"/>
        </w:rPr>
        <w:t xml:space="preserve">a elaboración constante de materiales pedagógicos accesibles, que permitan a las personas con discapacidad comprender el proceso judicial en el que están involucradas. Estos materiales se adaptan a las necesidades individuales de cada </w:t>
      </w:r>
      <w:r w:rsidRPr="009126A8">
        <w:rPr>
          <w:rFonts w:ascii="Palatino Linotype" w:eastAsiaTheme="minorEastAsia" w:hAnsi="Palatino Linotype" w:cstheme="minorBidi"/>
          <w:color w:val="auto"/>
          <w:sz w:val="22"/>
          <w:szCs w:val="22"/>
          <w:lang w:eastAsia="en-US"/>
        </w:rPr>
        <w:lastRenderedPageBreak/>
        <w:t>persona, utilizando diferentes medios de comunicación, como lectura fácil, lenguaje braille</w:t>
      </w:r>
      <w:r>
        <w:rPr>
          <w:rFonts w:ascii="Palatino Linotype" w:eastAsiaTheme="minorEastAsia" w:hAnsi="Palatino Linotype" w:cstheme="minorBidi"/>
          <w:color w:val="auto"/>
          <w:sz w:val="22"/>
          <w:szCs w:val="22"/>
          <w:lang w:eastAsia="en-US"/>
        </w:rPr>
        <w:t xml:space="preserve"> o</w:t>
      </w:r>
      <w:r w:rsidRPr="009126A8">
        <w:rPr>
          <w:rFonts w:ascii="Palatino Linotype" w:eastAsiaTheme="minorEastAsia" w:hAnsi="Palatino Linotype" w:cstheme="minorBidi"/>
          <w:color w:val="auto"/>
          <w:sz w:val="22"/>
          <w:szCs w:val="22"/>
          <w:lang w:eastAsia="en-US"/>
        </w:rPr>
        <w:t xml:space="preserve"> lengua de señas, entre otros, según corresponda.</w:t>
      </w:r>
    </w:p>
    <w:p w14:paraId="4CBDE77A" w14:textId="58DEDBB5" w:rsidR="00830DAA" w:rsidRPr="009126A8" w:rsidRDefault="00830DAA" w:rsidP="00830DAA">
      <w:pPr>
        <w:pStyle w:val="p1"/>
        <w:numPr>
          <w:ilvl w:val="0"/>
          <w:numId w:val="16"/>
        </w:numPr>
        <w:spacing w:line="276" w:lineRule="auto"/>
        <w:jc w:val="both"/>
        <w:rPr>
          <w:rFonts w:ascii="Palatino Linotype" w:eastAsiaTheme="minorEastAsia" w:hAnsi="Palatino Linotype" w:cstheme="minorBidi"/>
          <w:color w:val="auto"/>
          <w:sz w:val="22"/>
          <w:szCs w:val="22"/>
          <w:lang w:eastAsia="en-US"/>
        </w:rPr>
      </w:pPr>
      <w:r w:rsidRPr="009126A8">
        <w:rPr>
          <w:rFonts w:ascii="Palatino Linotype" w:eastAsiaTheme="minorEastAsia" w:hAnsi="Palatino Linotype" w:cstheme="minorBidi"/>
          <w:color w:val="auto"/>
          <w:sz w:val="22"/>
          <w:szCs w:val="22"/>
          <w:lang w:eastAsia="en-US"/>
        </w:rPr>
        <w:t xml:space="preserve">Se procura asegurar que las </w:t>
      </w:r>
      <w:r w:rsidR="00D839D4">
        <w:rPr>
          <w:rFonts w:ascii="Palatino Linotype" w:eastAsiaTheme="minorEastAsia" w:hAnsi="Palatino Linotype" w:cstheme="minorBidi"/>
          <w:color w:val="auto"/>
          <w:sz w:val="22"/>
          <w:szCs w:val="22"/>
          <w:lang w:eastAsia="en-US"/>
        </w:rPr>
        <w:t>P</w:t>
      </w:r>
      <w:r w:rsidRPr="009126A8">
        <w:rPr>
          <w:rFonts w:ascii="Palatino Linotype" w:eastAsiaTheme="minorEastAsia" w:hAnsi="Palatino Linotype" w:cstheme="minorBidi"/>
          <w:color w:val="auto"/>
          <w:sz w:val="22"/>
          <w:szCs w:val="22"/>
          <w:lang w:eastAsia="en-US"/>
        </w:rPr>
        <w:t xml:space="preserve">ersonas con </w:t>
      </w:r>
      <w:r w:rsidR="00D839D4">
        <w:rPr>
          <w:rFonts w:ascii="Palatino Linotype" w:eastAsiaTheme="minorEastAsia" w:hAnsi="Palatino Linotype" w:cstheme="minorBidi"/>
          <w:color w:val="auto"/>
          <w:sz w:val="22"/>
          <w:szCs w:val="22"/>
          <w:lang w:eastAsia="en-US"/>
        </w:rPr>
        <w:t>D</w:t>
      </w:r>
      <w:r w:rsidRPr="009126A8">
        <w:rPr>
          <w:rFonts w:ascii="Palatino Linotype" w:eastAsiaTheme="minorEastAsia" w:hAnsi="Palatino Linotype" w:cstheme="minorBidi"/>
          <w:color w:val="auto"/>
          <w:sz w:val="22"/>
          <w:szCs w:val="22"/>
          <w:lang w:eastAsia="en-US"/>
        </w:rPr>
        <w:t xml:space="preserve">iscapacidad tengan acceso a la información de manera igualitaria y que se respeten sus derechos durante todo el proceso judicial. Esto puede incluir la presencia de intérpretes de lengua de señas, la utilización de tecnologías de apoyo, ajustes en los entornos físicos, entre otras medidas necesarias para garantizar la participación efectiva de las </w:t>
      </w:r>
      <w:r w:rsidR="008F17F8">
        <w:rPr>
          <w:rFonts w:ascii="Palatino Linotype" w:eastAsiaTheme="minorEastAsia" w:hAnsi="Palatino Linotype" w:cstheme="minorBidi"/>
          <w:color w:val="auto"/>
          <w:sz w:val="22"/>
          <w:szCs w:val="22"/>
          <w:lang w:eastAsia="en-US"/>
        </w:rPr>
        <w:t>P</w:t>
      </w:r>
      <w:r w:rsidRPr="009126A8">
        <w:rPr>
          <w:rFonts w:ascii="Palatino Linotype" w:eastAsiaTheme="minorEastAsia" w:hAnsi="Palatino Linotype" w:cstheme="minorBidi"/>
          <w:color w:val="auto"/>
          <w:sz w:val="22"/>
          <w:szCs w:val="22"/>
          <w:lang w:eastAsia="en-US"/>
        </w:rPr>
        <w:t xml:space="preserve">ersonas con </w:t>
      </w:r>
      <w:r w:rsidR="008F17F8">
        <w:rPr>
          <w:rFonts w:ascii="Palatino Linotype" w:eastAsiaTheme="minorEastAsia" w:hAnsi="Palatino Linotype" w:cstheme="minorBidi"/>
          <w:color w:val="auto"/>
          <w:sz w:val="22"/>
          <w:szCs w:val="22"/>
          <w:lang w:eastAsia="en-US"/>
        </w:rPr>
        <w:t>D</w:t>
      </w:r>
      <w:r w:rsidRPr="009126A8">
        <w:rPr>
          <w:rFonts w:ascii="Palatino Linotype" w:eastAsiaTheme="minorEastAsia" w:hAnsi="Palatino Linotype" w:cstheme="minorBidi"/>
          <w:color w:val="auto"/>
          <w:sz w:val="22"/>
          <w:szCs w:val="22"/>
          <w:lang w:eastAsia="en-US"/>
        </w:rPr>
        <w:t>iscapacidad en las diligencias judiciales, requeridos por su representación judicial.</w:t>
      </w:r>
    </w:p>
    <w:p w14:paraId="2C662104" w14:textId="504A5C63" w:rsidR="00830DAA" w:rsidRPr="009126A8" w:rsidRDefault="00830DAA" w:rsidP="00830DAA">
      <w:pPr>
        <w:pStyle w:val="p1"/>
        <w:numPr>
          <w:ilvl w:val="0"/>
          <w:numId w:val="16"/>
        </w:numPr>
        <w:spacing w:line="276" w:lineRule="auto"/>
        <w:jc w:val="both"/>
        <w:rPr>
          <w:rFonts w:ascii="Palatino Linotype" w:eastAsiaTheme="minorEastAsia" w:hAnsi="Palatino Linotype" w:cstheme="minorBidi"/>
          <w:color w:val="auto"/>
          <w:sz w:val="22"/>
          <w:szCs w:val="22"/>
          <w:lang w:eastAsia="en-US"/>
        </w:rPr>
      </w:pPr>
      <w:r w:rsidRPr="009126A8">
        <w:rPr>
          <w:rFonts w:ascii="Palatino Linotype" w:eastAsiaTheme="minorEastAsia" w:hAnsi="Palatino Linotype" w:cstheme="minorBidi"/>
          <w:color w:val="auto"/>
          <w:sz w:val="22"/>
          <w:szCs w:val="22"/>
          <w:lang w:eastAsia="en-US"/>
        </w:rPr>
        <w:t xml:space="preserve">Capacitaciones en cuanto al enfoque de </w:t>
      </w:r>
      <w:r w:rsidR="008F17F8">
        <w:rPr>
          <w:rFonts w:ascii="Palatino Linotype" w:eastAsiaTheme="minorEastAsia" w:hAnsi="Palatino Linotype" w:cstheme="minorBidi"/>
          <w:color w:val="auto"/>
          <w:sz w:val="22"/>
          <w:szCs w:val="22"/>
          <w:lang w:eastAsia="en-US"/>
        </w:rPr>
        <w:t>P</w:t>
      </w:r>
      <w:r w:rsidRPr="009126A8">
        <w:rPr>
          <w:rFonts w:ascii="Palatino Linotype" w:eastAsiaTheme="minorEastAsia" w:hAnsi="Palatino Linotype" w:cstheme="minorBidi"/>
          <w:color w:val="auto"/>
          <w:sz w:val="22"/>
          <w:szCs w:val="22"/>
          <w:lang w:eastAsia="en-US"/>
        </w:rPr>
        <w:t xml:space="preserve">ersona con </w:t>
      </w:r>
      <w:r w:rsidR="008F17F8">
        <w:rPr>
          <w:rFonts w:ascii="Palatino Linotype" w:eastAsiaTheme="minorEastAsia" w:hAnsi="Palatino Linotype" w:cstheme="minorBidi"/>
          <w:color w:val="auto"/>
          <w:sz w:val="22"/>
          <w:szCs w:val="22"/>
          <w:lang w:eastAsia="en-US"/>
        </w:rPr>
        <w:t>D</w:t>
      </w:r>
      <w:r w:rsidRPr="009126A8">
        <w:rPr>
          <w:rFonts w:ascii="Palatino Linotype" w:eastAsiaTheme="minorEastAsia" w:hAnsi="Palatino Linotype" w:cstheme="minorBidi"/>
          <w:color w:val="auto"/>
          <w:sz w:val="22"/>
          <w:szCs w:val="22"/>
          <w:lang w:eastAsia="en-US"/>
        </w:rPr>
        <w:t xml:space="preserve">iscapacidad y la perspectiva interseccional a los equipos de abogadas/os, para que tengan presentes los mínimos conceptuales, el lenguaje incluyente y las recomendaciones de relacionamiento con las </w:t>
      </w:r>
      <w:r w:rsidR="008F17F8">
        <w:rPr>
          <w:rFonts w:ascii="Palatino Linotype" w:eastAsiaTheme="minorEastAsia" w:hAnsi="Palatino Linotype" w:cstheme="minorBidi"/>
          <w:color w:val="auto"/>
          <w:sz w:val="22"/>
          <w:szCs w:val="22"/>
          <w:lang w:eastAsia="en-US"/>
        </w:rPr>
        <w:t>P</w:t>
      </w:r>
      <w:r w:rsidRPr="009126A8">
        <w:rPr>
          <w:rFonts w:ascii="Palatino Linotype" w:eastAsiaTheme="minorEastAsia" w:hAnsi="Palatino Linotype" w:cstheme="minorBidi"/>
          <w:color w:val="auto"/>
          <w:sz w:val="22"/>
          <w:szCs w:val="22"/>
          <w:lang w:eastAsia="en-US"/>
        </w:rPr>
        <w:t xml:space="preserve">ersonas con </w:t>
      </w:r>
      <w:r w:rsidR="008F17F8">
        <w:rPr>
          <w:rFonts w:ascii="Palatino Linotype" w:eastAsiaTheme="minorEastAsia" w:hAnsi="Palatino Linotype" w:cstheme="minorBidi"/>
          <w:color w:val="auto"/>
          <w:sz w:val="22"/>
          <w:szCs w:val="22"/>
          <w:lang w:eastAsia="en-US"/>
        </w:rPr>
        <w:t>D</w:t>
      </w:r>
      <w:r w:rsidRPr="009126A8">
        <w:rPr>
          <w:rFonts w:ascii="Palatino Linotype" w:eastAsiaTheme="minorEastAsia" w:hAnsi="Palatino Linotype" w:cstheme="minorBidi"/>
          <w:color w:val="auto"/>
          <w:sz w:val="22"/>
          <w:szCs w:val="22"/>
          <w:lang w:eastAsia="en-US"/>
        </w:rPr>
        <w:t xml:space="preserve">iscapacidad. </w:t>
      </w:r>
    </w:p>
    <w:p w14:paraId="650D6D4B" w14:textId="77777777" w:rsidR="00830DAA" w:rsidRPr="009126A8" w:rsidRDefault="00830DAA" w:rsidP="00830DAA">
      <w:pPr>
        <w:pStyle w:val="p1"/>
        <w:spacing w:line="276" w:lineRule="auto"/>
        <w:jc w:val="both"/>
        <w:rPr>
          <w:rFonts w:ascii="Palatino Linotype" w:eastAsiaTheme="minorEastAsia" w:hAnsi="Palatino Linotype" w:cstheme="minorBidi"/>
          <w:color w:val="auto"/>
          <w:sz w:val="22"/>
          <w:szCs w:val="22"/>
          <w:lang w:eastAsia="en-US"/>
        </w:rPr>
      </w:pPr>
    </w:p>
    <w:p w14:paraId="4F26C417" w14:textId="77777777" w:rsidR="00830DAA" w:rsidRPr="006B588E" w:rsidRDefault="00830DAA" w:rsidP="00830DAA">
      <w:pPr>
        <w:pStyle w:val="p1"/>
        <w:spacing w:line="276" w:lineRule="auto"/>
        <w:jc w:val="both"/>
        <w:rPr>
          <w:rFonts w:ascii="Palatino Linotype" w:eastAsiaTheme="minorEastAsia" w:hAnsi="Palatino Linotype" w:cstheme="minorBidi"/>
          <w:color w:val="auto"/>
          <w:sz w:val="22"/>
          <w:szCs w:val="22"/>
          <w:lang w:eastAsia="en-US"/>
        </w:rPr>
      </w:pPr>
      <w:bookmarkStart w:id="10" w:name="_Toc210414437"/>
      <w:r w:rsidRPr="2AA8F4E5">
        <w:rPr>
          <w:rStyle w:val="Ttulo3Car"/>
          <w:sz w:val="22"/>
          <w:szCs w:val="22"/>
        </w:rPr>
        <w:t>Caso 6:</w:t>
      </w:r>
      <w:bookmarkEnd w:id="10"/>
      <w:r w:rsidRPr="2AA8F4E5">
        <w:rPr>
          <w:rFonts w:ascii="Palatino Linotype" w:eastAsiaTheme="minorEastAsia" w:hAnsi="Palatino Linotype" w:cstheme="minorBidi"/>
          <w:color w:val="auto"/>
          <w:sz w:val="22"/>
          <w:szCs w:val="22"/>
          <w:lang w:eastAsia="en-US"/>
        </w:rPr>
        <w:t xml:space="preserve"> Cumplimiento </w:t>
      </w:r>
      <w:r>
        <w:rPr>
          <w:rFonts w:ascii="Palatino Linotype" w:eastAsiaTheme="minorEastAsia" w:hAnsi="Palatino Linotype" w:cstheme="minorBidi"/>
          <w:color w:val="auto"/>
          <w:sz w:val="22"/>
          <w:szCs w:val="22"/>
          <w:lang w:eastAsia="en-US"/>
        </w:rPr>
        <w:t>de ó</w:t>
      </w:r>
      <w:r w:rsidRPr="2AA8F4E5">
        <w:rPr>
          <w:rFonts w:ascii="Palatino Linotype" w:eastAsiaTheme="minorEastAsia" w:hAnsi="Palatino Linotype" w:cstheme="minorBidi"/>
          <w:color w:val="auto"/>
          <w:sz w:val="22"/>
          <w:szCs w:val="22"/>
          <w:lang w:eastAsia="en-US"/>
        </w:rPr>
        <w:t xml:space="preserve">rdenes </w:t>
      </w:r>
      <w:r>
        <w:rPr>
          <w:rFonts w:ascii="Palatino Linotype" w:eastAsiaTheme="minorEastAsia" w:hAnsi="Palatino Linotype" w:cstheme="minorBidi"/>
          <w:color w:val="auto"/>
          <w:sz w:val="22"/>
          <w:szCs w:val="22"/>
          <w:lang w:eastAsia="en-US"/>
        </w:rPr>
        <w:t>contenidas en la s</w:t>
      </w:r>
      <w:r w:rsidRPr="2AA8F4E5">
        <w:rPr>
          <w:rFonts w:ascii="Palatino Linotype" w:eastAsiaTheme="minorEastAsia" w:hAnsi="Palatino Linotype" w:cstheme="minorBidi"/>
          <w:color w:val="auto"/>
          <w:sz w:val="22"/>
          <w:szCs w:val="22"/>
          <w:lang w:eastAsia="en-US"/>
        </w:rPr>
        <w:t>entencia TP-SeRVR-RC-ST-Nº001-2025 - Implementación de ajustes en los TOARS y sanciones</w:t>
      </w:r>
      <w:r w:rsidRPr="2AA8F4E5">
        <w:rPr>
          <w:rStyle w:val="Refdenotaalpie"/>
          <w:rFonts w:ascii="Palatino Linotype" w:eastAsiaTheme="minorEastAsia" w:hAnsi="Palatino Linotype" w:cstheme="minorBidi"/>
          <w:color w:val="auto"/>
          <w:sz w:val="22"/>
          <w:szCs w:val="22"/>
          <w:lang w:eastAsia="en-US"/>
        </w:rPr>
        <w:footnoteReference w:id="14"/>
      </w:r>
      <w:r w:rsidRPr="2AA8F4E5">
        <w:rPr>
          <w:rFonts w:ascii="Palatino Linotype" w:eastAsiaTheme="minorEastAsia" w:hAnsi="Palatino Linotype" w:cstheme="minorBidi"/>
          <w:color w:val="auto"/>
          <w:sz w:val="22"/>
          <w:szCs w:val="22"/>
          <w:lang w:eastAsia="en-US"/>
        </w:rPr>
        <w:t>:</w:t>
      </w:r>
    </w:p>
    <w:p w14:paraId="1D3D8B23" w14:textId="77777777" w:rsidR="00830DAA" w:rsidRPr="006B588E" w:rsidRDefault="00830DAA" w:rsidP="00830DAA">
      <w:pPr>
        <w:pStyle w:val="p1"/>
        <w:spacing w:line="276" w:lineRule="auto"/>
        <w:jc w:val="both"/>
        <w:rPr>
          <w:rFonts w:ascii="Palatino Linotype" w:eastAsiaTheme="minorEastAsia" w:hAnsi="Palatino Linotype" w:cstheme="minorBidi"/>
          <w:color w:val="auto"/>
          <w:sz w:val="22"/>
          <w:szCs w:val="22"/>
          <w:lang w:eastAsia="en-US"/>
        </w:rPr>
      </w:pPr>
    </w:p>
    <w:p w14:paraId="5D0F7CF4" w14:textId="4FC71A88" w:rsidR="00830DAA" w:rsidRPr="006B588E" w:rsidRDefault="00830DAA" w:rsidP="00830DAA">
      <w:pPr>
        <w:pStyle w:val="p1"/>
        <w:spacing w:line="276" w:lineRule="auto"/>
        <w:jc w:val="both"/>
        <w:rPr>
          <w:rFonts w:ascii="Palatino Linotype" w:eastAsiaTheme="minorEastAsia" w:hAnsi="Palatino Linotype" w:cstheme="minorBidi"/>
          <w:color w:val="auto"/>
          <w:sz w:val="22"/>
          <w:szCs w:val="22"/>
          <w:lang w:eastAsia="en-US"/>
        </w:rPr>
      </w:pPr>
      <w:r w:rsidRPr="2AA8F4E5">
        <w:rPr>
          <w:rFonts w:ascii="Palatino Linotype" w:eastAsiaTheme="minorEastAsia" w:hAnsi="Palatino Linotype" w:cstheme="minorBidi"/>
          <w:color w:val="auto"/>
          <w:sz w:val="22"/>
          <w:szCs w:val="22"/>
          <w:lang w:eastAsia="en-US"/>
        </w:rPr>
        <w:t xml:space="preserve">Siendo que este aspecto da respuesta a solicitudes específicas de la </w:t>
      </w:r>
      <w:r>
        <w:rPr>
          <w:rFonts w:ascii="Palatino Linotype" w:eastAsiaTheme="minorEastAsia" w:hAnsi="Palatino Linotype" w:cstheme="minorBidi"/>
          <w:color w:val="auto"/>
          <w:sz w:val="22"/>
          <w:szCs w:val="22"/>
          <w:lang w:eastAsia="en-US"/>
        </w:rPr>
        <w:t>s</w:t>
      </w:r>
      <w:r w:rsidRPr="2AA8F4E5">
        <w:rPr>
          <w:rFonts w:ascii="Palatino Linotype" w:eastAsiaTheme="minorEastAsia" w:hAnsi="Palatino Linotype" w:cstheme="minorBidi"/>
          <w:color w:val="auto"/>
          <w:sz w:val="22"/>
          <w:szCs w:val="22"/>
          <w:lang w:eastAsia="en-US"/>
        </w:rPr>
        <w:t xml:space="preserve">entencia de </w:t>
      </w:r>
      <w:r>
        <w:rPr>
          <w:rFonts w:ascii="Palatino Linotype" w:eastAsiaTheme="minorEastAsia" w:hAnsi="Palatino Linotype" w:cstheme="minorBidi"/>
          <w:color w:val="auto"/>
          <w:sz w:val="22"/>
          <w:szCs w:val="22"/>
          <w:lang w:eastAsia="en-US"/>
        </w:rPr>
        <w:t>C</w:t>
      </w:r>
      <w:r w:rsidRPr="2AA8F4E5">
        <w:rPr>
          <w:rFonts w:ascii="Palatino Linotype" w:eastAsiaTheme="minorEastAsia" w:hAnsi="Palatino Linotype" w:cstheme="minorBidi"/>
          <w:color w:val="auto"/>
          <w:sz w:val="22"/>
          <w:szCs w:val="22"/>
          <w:lang w:eastAsia="en-US"/>
        </w:rPr>
        <w:t>aso 01</w:t>
      </w:r>
      <w:r w:rsidR="008F17F8">
        <w:rPr>
          <w:rStyle w:val="Refdenotaalpie"/>
          <w:rFonts w:ascii="Palatino Linotype" w:eastAsiaTheme="minorEastAsia" w:hAnsi="Palatino Linotype" w:cstheme="minorBidi"/>
          <w:color w:val="auto"/>
          <w:sz w:val="22"/>
          <w:szCs w:val="22"/>
          <w:lang w:eastAsia="en-US"/>
        </w:rPr>
        <w:footnoteReference w:id="15"/>
      </w:r>
      <w:r w:rsidRPr="2AA8F4E5">
        <w:rPr>
          <w:rFonts w:ascii="Palatino Linotype" w:eastAsiaTheme="minorEastAsia" w:hAnsi="Palatino Linotype" w:cstheme="minorBidi"/>
          <w:color w:val="auto"/>
          <w:sz w:val="22"/>
          <w:szCs w:val="22"/>
          <w:lang w:eastAsia="en-US"/>
        </w:rPr>
        <w:t>, los ajustes implementados, garantizan condiciones de protección integral a saber:</w:t>
      </w:r>
    </w:p>
    <w:p w14:paraId="3639822B" w14:textId="77777777" w:rsidR="00830DAA" w:rsidRPr="006B588E" w:rsidRDefault="00830DAA" w:rsidP="00830DAA">
      <w:pPr>
        <w:pStyle w:val="Ttulo4"/>
        <w:numPr>
          <w:ilvl w:val="0"/>
          <w:numId w:val="17"/>
        </w:numPr>
        <w:tabs>
          <w:tab w:val="num" w:pos="360"/>
        </w:tabs>
        <w:spacing w:line="276" w:lineRule="auto"/>
        <w:ind w:left="0" w:firstLine="0"/>
        <w:rPr>
          <w:lang w:val="es-CO"/>
        </w:rPr>
      </w:pPr>
      <w:r w:rsidRPr="2AA8F4E5">
        <w:rPr>
          <w:lang w:val="es-CO"/>
        </w:rPr>
        <w:t>Ajustes implementados</w:t>
      </w:r>
    </w:p>
    <w:p w14:paraId="57438A2E" w14:textId="77777777" w:rsidR="00830DAA" w:rsidRPr="006B588E" w:rsidRDefault="00830DAA" w:rsidP="00830DAA">
      <w:pPr>
        <w:pStyle w:val="Sangradetextonormal"/>
        <w:spacing w:after="0" w:line="276" w:lineRule="auto"/>
        <w:ind w:right="-29"/>
        <w:jc w:val="both"/>
        <w:rPr>
          <w:rFonts w:cs="Arial"/>
          <w:lang w:val="es-CO"/>
        </w:rPr>
      </w:pPr>
    </w:p>
    <w:p w14:paraId="5518E964" w14:textId="77777777" w:rsidR="00830DAA" w:rsidRPr="006B588E" w:rsidRDefault="00830DAA" w:rsidP="00830DAA">
      <w:pPr>
        <w:pStyle w:val="Sangradetextonormal"/>
        <w:spacing w:after="0" w:line="276" w:lineRule="auto"/>
        <w:ind w:left="1003" w:right="-29"/>
        <w:jc w:val="both"/>
        <w:rPr>
          <w:rFonts w:cs="Arial"/>
          <w:lang w:val="es-CO"/>
        </w:rPr>
      </w:pPr>
      <w:r w:rsidRPr="2AA8F4E5">
        <w:rPr>
          <w:rFonts w:cs="Arial"/>
          <w:lang w:val="es-CO"/>
        </w:rPr>
        <w:t xml:space="preserve">Se sugiere lo siguiente: </w:t>
      </w:r>
    </w:p>
    <w:p w14:paraId="37BE83A3" w14:textId="77777777" w:rsidR="00830DAA" w:rsidRPr="006B588E" w:rsidRDefault="00830DAA" w:rsidP="00830DAA">
      <w:pPr>
        <w:pStyle w:val="Sangradetextonormal"/>
        <w:spacing w:after="0" w:line="276" w:lineRule="auto"/>
        <w:ind w:left="1003" w:right="-29"/>
        <w:jc w:val="both"/>
        <w:rPr>
          <w:rFonts w:cs="Arial"/>
          <w:lang w:val="es-CO"/>
        </w:rPr>
      </w:pPr>
    </w:p>
    <w:p w14:paraId="22CCC3AE"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Realizar una caracterización del compareciente; evaluar la sanción propia a la luz de la planeación de las actividades a realizar y las posibilidades del compareciente; construir perfiles de exigencia según las actividades a desarrollar, teniendo en cuenta capacidades, habilidades, necesidades y condiciones particulares del compareciente; realizar seguimiento y apoyo psicosocial y sociolaboral permanente, lo que involucra a entidades del estado, relacionados con la orden sexagésima sexta.</w:t>
      </w:r>
    </w:p>
    <w:p w14:paraId="247BBE48"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 xml:space="preserve">Los procesos restaurativos y reparadores deben responder a las necesidades y contextos de los grupos poblacionales mencionados. Esto implica que, desde el diseño, planificación, estructuración, ejecución y evaluación de los proyectos, se deben incorporar los derechos de los sujetos de especial protección y se realice un análisis de contexto con perspectiva interseccional. Deben eliminarse las actitudes </w:t>
      </w:r>
      <w:r w:rsidRPr="2AA8F4E5">
        <w:rPr>
          <w:rFonts w:cs="Arial"/>
          <w:lang w:val="es-CO"/>
        </w:rPr>
        <w:lastRenderedPageBreak/>
        <w:t>discriminatorias, estereotipadas y sesgadas. Además, es necesario promover el uso de un lenguaje inclusivo y no sexista, prever ajustes razonables para la inclusión de todas las personas, y aplicar diseños universales; con estas acciones se garantiza la implementación de los enfoques diferenciales.</w:t>
      </w:r>
    </w:p>
    <w:p w14:paraId="3A3FA25A"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 xml:space="preserve">Para la recomendación de ajustes razonables se deben tener presente los elementos necesarios para llevarlos a cabo: </w:t>
      </w:r>
    </w:p>
    <w:p w14:paraId="36443A80" w14:textId="77777777" w:rsidR="00830DAA" w:rsidRPr="006B588E" w:rsidRDefault="00830DAA" w:rsidP="00830DAA">
      <w:pPr>
        <w:pStyle w:val="Sangradetextonormal"/>
        <w:spacing w:after="0" w:line="276" w:lineRule="auto"/>
        <w:ind w:left="1003" w:right="-29"/>
        <w:jc w:val="both"/>
        <w:rPr>
          <w:rFonts w:cs="Arial"/>
          <w:lang w:val="es-CO"/>
        </w:rPr>
      </w:pPr>
    </w:p>
    <w:p w14:paraId="7285183D" w14:textId="77777777" w:rsidR="00830DAA" w:rsidRPr="006B588E" w:rsidRDefault="00830DAA" w:rsidP="00830DAA">
      <w:pPr>
        <w:pStyle w:val="Sangradetextonormal"/>
        <w:numPr>
          <w:ilvl w:val="1"/>
          <w:numId w:val="18"/>
        </w:numPr>
        <w:spacing w:after="0" w:line="276" w:lineRule="auto"/>
        <w:ind w:right="-29"/>
        <w:jc w:val="both"/>
        <w:rPr>
          <w:rFonts w:cs="Arial"/>
          <w:lang w:val="es-CO"/>
        </w:rPr>
      </w:pPr>
      <w:r w:rsidRPr="2AA8F4E5">
        <w:rPr>
          <w:rFonts w:cs="Arial"/>
          <w:b/>
          <w:bCs/>
          <w:lang w:val="es-CO"/>
        </w:rPr>
        <w:t xml:space="preserve">Apoyos: </w:t>
      </w:r>
      <w:r w:rsidRPr="00B615CA">
        <w:rPr>
          <w:rFonts w:cs="Arial"/>
          <w:lang w:val="es-CO"/>
        </w:rPr>
        <w:t>S</w:t>
      </w:r>
      <w:r w:rsidRPr="2AA8F4E5">
        <w:rPr>
          <w:rFonts w:cs="Arial"/>
          <w:lang w:val="es-CO"/>
        </w:rPr>
        <w:t xml:space="preserve">e refiere a las herramientas que contribuyen al desempeño individual de la Persona con Discapacidad o persona mayor, teniendo en consideración sus necesidades específicas para poder desenvolverse de la mejor manera posible. </w:t>
      </w:r>
    </w:p>
    <w:p w14:paraId="76FFD0E5" w14:textId="77777777" w:rsidR="00830DAA" w:rsidRPr="006B588E" w:rsidRDefault="00830DAA" w:rsidP="00830DAA">
      <w:pPr>
        <w:pStyle w:val="Sangradetextonormal"/>
        <w:numPr>
          <w:ilvl w:val="1"/>
          <w:numId w:val="18"/>
        </w:numPr>
        <w:spacing w:after="0" w:line="276" w:lineRule="auto"/>
        <w:ind w:right="-29"/>
        <w:jc w:val="both"/>
        <w:rPr>
          <w:rFonts w:cs="Arial"/>
          <w:lang w:val="es-CO"/>
        </w:rPr>
      </w:pPr>
      <w:r w:rsidRPr="2AA8F4E5">
        <w:rPr>
          <w:rFonts w:cs="Arial"/>
          <w:b/>
          <w:bCs/>
          <w:lang w:val="es-CO"/>
        </w:rPr>
        <w:t xml:space="preserve">Accesibilidad: </w:t>
      </w:r>
      <w:r>
        <w:rPr>
          <w:rFonts w:cs="Arial"/>
          <w:lang w:val="es-CO"/>
        </w:rPr>
        <w:t>E</w:t>
      </w:r>
      <w:r w:rsidRPr="2AA8F4E5">
        <w:rPr>
          <w:rFonts w:cs="Arial"/>
          <w:lang w:val="es-CO"/>
        </w:rPr>
        <w:t>s la eliminación de barreras que supone la realización de acción preventivas, relacionado con un entrono saludable para los comparecientes.</w:t>
      </w:r>
    </w:p>
    <w:p w14:paraId="4EFDE165" w14:textId="77777777" w:rsidR="00830DAA" w:rsidRPr="006B588E" w:rsidRDefault="00830DAA" w:rsidP="00830DAA">
      <w:pPr>
        <w:pStyle w:val="Sangradetextonormal"/>
        <w:numPr>
          <w:ilvl w:val="1"/>
          <w:numId w:val="18"/>
        </w:numPr>
        <w:spacing w:after="0" w:line="276" w:lineRule="auto"/>
        <w:ind w:right="-29"/>
        <w:jc w:val="both"/>
        <w:rPr>
          <w:rFonts w:cs="Arial"/>
          <w:lang w:val="es-CO"/>
        </w:rPr>
      </w:pPr>
      <w:r w:rsidRPr="2AA8F4E5">
        <w:rPr>
          <w:rFonts w:cs="Arial"/>
          <w:b/>
          <w:bCs/>
          <w:lang w:val="es-CO"/>
        </w:rPr>
        <w:t xml:space="preserve">Adaptaciones: </w:t>
      </w:r>
      <w:r>
        <w:rPr>
          <w:rFonts w:cs="Arial"/>
          <w:lang w:val="es-CO"/>
        </w:rPr>
        <w:t>S</w:t>
      </w:r>
      <w:r w:rsidRPr="2AA8F4E5">
        <w:rPr>
          <w:rFonts w:cs="Arial"/>
          <w:lang w:val="es-CO"/>
        </w:rPr>
        <w:t>e relaciona con todo cambio o ajuste que requiere una Persona con Discapacidad o Persona Mayor al querer desarrollar una acción, con la finalidad de realizar funciones esenciales del mismo y disfrutar de los beneficios iguales a quien no tiene discapacidad o una persona más joven.</w:t>
      </w:r>
    </w:p>
    <w:p w14:paraId="7CBCB16F" w14:textId="77777777" w:rsidR="00830DAA" w:rsidRPr="006B588E" w:rsidRDefault="00830DAA" w:rsidP="00830DAA">
      <w:pPr>
        <w:pStyle w:val="Sangradetextonormal"/>
        <w:numPr>
          <w:ilvl w:val="1"/>
          <w:numId w:val="18"/>
        </w:numPr>
        <w:spacing w:after="0" w:line="276" w:lineRule="auto"/>
        <w:ind w:right="-29"/>
        <w:jc w:val="both"/>
        <w:rPr>
          <w:rFonts w:cs="Arial"/>
          <w:lang w:val="es-CO"/>
        </w:rPr>
      </w:pPr>
      <w:r w:rsidRPr="2AA8F4E5">
        <w:rPr>
          <w:rFonts w:cs="Arial"/>
          <w:b/>
          <w:bCs/>
          <w:lang w:val="es-CO"/>
        </w:rPr>
        <w:t xml:space="preserve">Modificaciones: </w:t>
      </w:r>
      <w:r>
        <w:rPr>
          <w:rFonts w:cs="Arial"/>
          <w:lang w:val="es-CO"/>
        </w:rPr>
        <w:t>S</w:t>
      </w:r>
      <w:r w:rsidRPr="2AA8F4E5">
        <w:rPr>
          <w:rFonts w:cs="Arial"/>
          <w:lang w:val="es-CO"/>
        </w:rPr>
        <w:t>on cambios que se hacen a las cosas -productos-bienes-objetos-servicios- para permitir que una Persona con Discapacidad o mayor las utilice al máximo posible.</w:t>
      </w:r>
    </w:p>
    <w:p w14:paraId="6DEFF60B" w14:textId="77777777" w:rsidR="00830DAA" w:rsidRDefault="00830DAA" w:rsidP="00830DAA">
      <w:pPr>
        <w:pStyle w:val="Sangradetextonormal"/>
        <w:spacing w:after="0" w:line="276" w:lineRule="auto"/>
        <w:ind w:left="1723" w:right="-29"/>
        <w:jc w:val="both"/>
        <w:rPr>
          <w:rFonts w:cs="Arial"/>
          <w:lang w:val="es-CO"/>
        </w:rPr>
      </w:pPr>
    </w:p>
    <w:p w14:paraId="29BEF49D"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 xml:space="preserve">Teniendo en cuenta las siete líneas de acción que propone el sistema restaurativo, es factible </w:t>
      </w:r>
      <w:r>
        <w:rPr>
          <w:rFonts w:cs="Arial"/>
          <w:lang w:val="es-CO"/>
        </w:rPr>
        <w:t xml:space="preserve">el cumplimiento de las Sanciones Propias por parte </w:t>
      </w:r>
      <w:r w:rsidRPr="2AA8F4E5">
        <w:rPr>
          <w:rFonts w:cs="Arial"/>
          <w:lang w:val="es-CO"/>
        </w:rPr>
        <w:t>de los máximos responsables en todas ellas, contribuyendo desde sus posibilidades físicas, de salud y mentales. Para ello una vez propuestas las sanciones propias, la OAED</w:t>
      </w:r>
      <w:r>
        <w:rPr>
          <w:rFonts w:cs="Arial"/>
          <w:lang w:val="es-CO"/>
        </w:rPr>
        <w:t xml:space="preserve"> </w:t>
      </w:r>
      <w:r w:rsidRPr="2AA8F4E5">
        <w:rPr>
          <w:rFonts w:cs="Arial"/>
          <w:lang w:val="es-CO"/>
        </w:rPr>
        <w:t xml:space="preserve">está en la posibilidad de analizar las condiciones integrales y recomendar los ajustes razonables pertinentes manera que se garantice </w:t>
      </w:r>
      <w:r>
        <w:rPr>
          <w:rFonts w:cs="Arial"/>
          <w:lang w:val="es-CO"/>
        </w:rPr>
        <w:t xml:space="preserve">el cumplimiento de las Sanciones Propias por parte </w:t>
      </w:r>
      <w:r w:rsidRPr="2AA8F4E5">
        <w:rPr>
          <w:rFonts w:cs="Arial"/>
          <w:lang w:val="es-CO"/>
        </w:rPr>
        <w:t>de todas las Personas</w:t>
      </w:r>
      <w:r>
        <w:rPr>
          <w:rFonts w:cs="Arial"/>
          <w:lang w:val="es-CO"/>
        </w:rPr>
        <w:t xml:space="preserve"> con Discapacidad</w:t>
      </w:r>
      <w:r w:rsidRPr="2AA8F4E5">
        <w:rPr>
          <w:rFonts w:cs="Arial"/>
          <w:lang w:val="es-CO"/>
        </w:rPr>
        <w:t>.</w:t>
      </w:r>
    </w:p>
    <w:p w14:paraId="1DBB052D"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 xml:space="preserve">Existe la posibilidad de pre-existencias de cuadros de salud complejos, que puedan impedir </w:t>
      </w:r>
      <w:r>
        <w:rPr>
          <w:rFonts w:cs="Arial"/>
          <w:lang w:val="es-CO"/>
        </w:rPr>
        <w:t xml:space="preserve">el cumplimiento de las Sanciones Propias por parte </w:t>
      </w:r>
      <w:r w:rsidRPr="2AA8F4E5">
        <w:rPr>
          <w:rFonts w:cs="Arial"/>
          <w:lang w:val="es-CO"/>
        </w:rPr>
        <w:t xml:space="preserve">de los máximos responsables en los proyectos restaurativos, lo que implica, por parte del equipo, evaluar el caso de manera particular para brindar alternativas de </w:t>
      </w:r>
      <w:proofErr w:type="spellStart"/>
      <w:r>
        <w:rPr>
          <w:rFonts w:cs="Arial"/>
          <w:lang w:val="es-CO"/>
        </w:rPr>
        <w:t>cumlpimiento</w:t>
      </w:r>
      <w:proofErr w:type="spellEnd"/>
      <w:r w:rsidRPr="2AA8F4E5">
        <w:rPr>
          <w:rFonts w:cs="Arial"/>
          <w:lang w:val="es-CO"/>
        </w:rPr>
        <w:t>. Lo anterior, dependiendo de las condiciones de salud, deberá revisarse a la luz de un diagnóstico integral.</w:t>
      </w:r>
    </w:p>
    <w:p w14:paraId="2AC25688" w14:textId="77777777" w:rsidR="00830DAA" w:rsidRPr="006B588E" w:rsidRDefault="00830DAA" w:rsidP="00830DAA">
      <w:pPr>
        <w:pStyle w:val="Sangradetextonormal"/>
        <w:numPr>
          <w:ilvl w:val="0"/>
          <w:numId w:val="18"/>
        </w:numPr>
        <w:spacing w:after="0" w:line="276" w:lineRule="auto"/>
        <w:ind w:right="-29"/>
        <w:jc w:val="both"/>
        <w:rPr>
          <w:rFonts w:cs="Arial"/>
          <w:lang w:val="es-CO"/>
        </w:rPr>
      </w:pPr>
      <w:r w:rsidRPr="2AA8F4E5">
        <w:rPr>
          <w:rFonts w:cs="Arial"/>
          <w:lang w:val="es-CO"/>
        </w:rPr>
        <w:t xml:space="preserve">Elaborar un plan de constitución de pólizas de seguro necesarias para la ejecución segura de los proyectos, obras o actividades restaurativas y reparadoras, además </w:t>
      </w:r>
      <w:r w:rsidRPr="2AA8F4E5">
        <w:rPr>
          <w:rFonts w:cs="Arial"/>
          <w:lang w:val="es-CO"/>
        </w:rPr>
        <w:lastRenderedPageBreak/>
        <w:t xml:space="preserve">de garantizar, su actualización de manera periódica, considerando los riesgos para la salud y la seguridad de los comparecientes. </w:t>
      </w:r>
    </w:p>
    <w:p w14:paraId="25160258" w14:textId="77777777" w:rsidR="00A16DE7" w:rsidRDefault="00A16DE7"/>
    <w:sectPr w:rsidR="00A16D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58CB" w14:textId="77777777" w:rsidR="009D0094" w:rsidRDefault="009D0094" w:rsidP="00830DAA">
      <w:pPr>
        <w:spacing w:after="0"/>
      </w:pPr>
      <w:r>
        <w:separator/>
      </w:r>
    </w:p>
  </w:endnote>
  <w:endnote w:type="continuationSeparator" w:id="0">
    <w:p w14:paraId="6267BDA4" w14:textId="77777777" w:rsidR="009D0094" w:rsidRDefault="009D0094" w:rsidP="00830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27C3" w14:textId="77777777" w:rsidR="009D0094" w:rsidRDefault="009D0094" w:rsidP="00830DAA">
      <w:pPr>
        <w:spacing w:after="0"/>
      </w:pPr>
      <w:r>
        <w:separator/>
      </w:r>
    </w:p>
  </w:footnote>
  <w:footnote w:type="continuationSeparator" w:id="0">
    <w:p w14:paraId="7877C62A" w14:textId="77777777" w:rsidR="009D0094" w:rsidRDefault="009D0094" w:rsidP="00830DAA">
      <w:pPr>
        <w:spacing w:after="0"/>
      </w:pPr>
      <w:r>
        <w:continuationSeparator/>
      </w:r>
    </w:p>
  </w:footnote>
  <w:footnote w:id="1">
    <w:p w14:paraId="70A7212D" w14:textId="5A6F0389" w:rsidR="00830DAA" w:rsidRPr="00830DAA" w:rsidRDefault="00830DAA">
      <w:pPr>
        <w:pStyle w:val="Textonotapie"/>
        <w:rPr>
          <w:lang w:val="es-ES_tradnl"/>
        </w:rPr>
      </w:pPr>
      <w:r w:rsidRPr="00830DAA">
        <w:rPr>
          <w:rStyle w:val="Refdenotaalpie"/>
          <w:lang w:val="es-ES_tradnl"/>
        </w:rPr>
        <w:footnoteRef/>
      </w:r>
      <w:r w:rsidRPr="00830DAA">
        <w:rPr>
          <w:lang w:val="es-ES_tradnl"/>
        </w:rPr>
        <w:t xml:space="preserve"> </w:t>
      </w:r>
      <w:r w:rsidRPr="00830DAA">
        <w:rPr>
          <w:b/>
          <w:bCs/>
          <w:sz w:val="16"/>
          <w:szCs w:val="16"/>
          <w:lang w:val="es-ES_tradnl"/>
        </w:rPr>
        <w:t>Sordera profunda bilateral congénita:</w:t>
      </w:r>
      <w:r w:rsidRPr="00830DAA">
        <w:rPr>
          <w:sz w:val="16"/>
          <w:szCs w:val="16"/>
          <w:lang w:val="es-ES_tradnl"/>
        </w:rPr>
        <w:t xml:space="preserve"> pérdida total o casi total de la audición en ambos oídos desde el nacimiento. </w:t>
      </w:r>
      <w:r w:rsidRPr="00830DAA">
        <w:rPr>
          <w:sz w:val="16"/>
          <w:szCs w:val="16"/>
          <w:lang w:val="es-ES_tradnl"/>
        </w:rPr>
        <w:t xml:space="preserve">Reconocida </w:t>
      </w:r>
      <w:r w:rsidRPr="00830DAA">
        <w:rPr>
          <w:sz w:val="16"/>
          <w:szCs w:val="16"/>
          <w:lang w:val="es-ES_tradnl"/>
        </w:rPr>
        <w:t xml:space="preserve">y protegida por la </w:t>
      </w:r>
      <w:r w:rsidRPr="00830DAA">
        <w:rPr>
          <w:b/>
          <w:bCs/>
          <w:sz w:val="16"/>
          <w:szCs w:val="16"/>
          <w:lang w:val="es-ES_tradnl"/>
        </w:rPr>
        <w:t>Ley 1618 de 2013,</w:t>
      </w:r>
      <w:r w:rsidRPr="00830DAA">
        <w:rPr>
          <w:sz w:val="16"/>
          <w:szCs w:val="16"/>
          <w:lang w:val="es-ES_tradnl"/>
        </w:rPr>
        <w:t xml:space="preserve"> que garantiza los derechos de las </w:t>
      </w:r>
      <w:r w:rsidRPr="00830DAA">
        <w:rPr>
          <w:sz w:val="16"/>
          <w:szCs w:val="16"/>
          <w:lang w:val="es-ES_tradnl"/>
        </w:rPr>
        <w:t>P</w:t>
      </w:r>
      <w:r w:rsidRPr="00830DAA">
        <w:rPr>
          <w:sz w:val="16"/>
          <w:szCs w:val="16"/>
          <w:lang w:val="es-ES_tradnl"/>
        </w:rPr>
        <w:t xml:space="preserve">ersonas con </w:t>
      </w:r>
      <w:r w:rsidRPr="00830DAA">
        <w:rPr>
          <w:sz w:val="16"/>
          <w:szCs w:val="16"/>
          <w:lang w:val="es-ES_tradnl"/>
        </w:rPr>
        <w:t>D</w:t>
      </w:r>
      <w:r w:rsidRPr="00830DAA">
        <w:rPr>
          <w:sz w:val="16"/>
          <w:szCs w:val="16"/>
          <w:lang w:val="es-ES_tradnl"/>
        </w:rPr>
        <w:t>iscapacidad auditiva.</w:t>
      </w:r>
    </w:p>
  </w:footnote>
  <w:footnote w:id="2">
    <w:p w14:paraId="027362C5" w14:textId="4A6CBAE3" w:rsidR="002302B1" w:rsidRPr="002302B1" w:rsidRDefault="002302B1">
      <w:pPr>
        <w:pStyle w:val="Textonotapie"/>
        <w:rPr>
          <w:lang w:val="es-ES_tradnl"/>
        </w:rPr>
      </w:pPr>
      <w:r w:rsidRPr="002302B1">
        <w:rPr>
          <w:rStyle w:val="Refdenotaalpie"/>
          <w:lang w:val="es-ES_tradnl"/>
        </w:rPr>
        <w:footnoteRef/>
      </w:r>
      <w:r w:rsidRPr="002302B1">
        <w:rPr>
          <w:lang w:val="es-ES_tradnl"/>
        </w:rPr>
        <w:t xml:space="preserve"> </w:t>
      </w:r>
      <w:r w:rsidRPr="002302B1">
        <w:rPr>
          <w:b/>
          <w:bCs/>
          <w:sz w:val="16"/>
          <w:szCs w:val="16"/>
          <w:lang w:val="es-ES_tradnl"/>
        </w:rPr>
        <w:t>Analfabeta:</w:t>
      </w:r>
      <w:r w:rsidRPr="002302B1">
        <w:rPr>
          <w:sz w:val="16"/>
          <w:szCs w:val="16"/>
          <w:lang w:val="es-ES_tradnl"/>
        </w:rPr>
        <w:t xml:space="preserve"> persona que no sabe leer ni escribir, según la definición establecida por la UNESCO (1958)</w:t>
      </w:r>
    </w:p>
  </w:footnote>
  <w:footnote w:id="3">
    <w:p w14:paraId="6CD9D9F3" w14:textId="79044112" w:rsidR="002302B1" w:rsidRPr="002302B1" w:rsidRDefault="002302B1">
      <w:pPr>
        <w:pStyle w:val="Textonotapie"/>
        <w:rPr>
          <w:lang w:val="es-ES_tradnl"/>
        </w:rPr>
      </w:pPr>
      <w:r>
        <w:rPr>
          <w:rStyle w:val="Refdenotaalpie"/>
        </w:rPr>
        <w:footnoteRef/>
      </w:r>
      <w:r>
        <w:t xml:space="preserve"> </w:t>
      </w:r>
      <w:r w:rsidRPr="002302B1">
        <w:rPr>
          <w:b/>
          <w:bCs/>
          <w:sz w:val="16"/>
          <w:szCs w:val="16"/>
          <w:lang w:val="es-ES_tradnl"/>
        </w:rPr>
        <w:t>Artículo 144, Ley 906 de 2004:</w:t>
      </w:r>
      <w:r w:rsidRPr="002302B1">
        <w:rPr>
          <w:sz w:val="16"/>
          <w:szCs w:val="16"/>
          <w:lang w:val="es-ES_tradnl"/>
        </w:rPr>
        <w:t xml:space="preserve"> dispone la obligación de designar un intérprete cuando una persona interviniente en el proceso no hable o no entienda el idioma castellano, o presente una discapacidad auditiva o del habla, garantizando así su derecho al debido proceso y a la comunicación efectiva.</w:t>
      </w:r>
    </w:p>
  </w:footnote>
  <w:footnote w:id="4">
    <w:p w14:paraId="6A2D0E52" w14:textId="58265EDF" w:rsidR="002302B1" w:rsidRPr="002302B1" w:rsidRDefault="002302B1">
      <w:pPr>
        <w:pStyle w:val="Textonotapie"/>
        <w:rPr>
          <w:lang w:val="es-ES_tradnl"/>
        </w:rPr>
      </w:pPr>
      <w:r>
        <w:rPr>
          <w:rStyle w:val="Refdenotaalpie"/>
        </w:rPr>
        <w:footnoteRef/>
      </w:r>
      <w:r>
        <w:t xml:space="preserve"> </w:t>
      </w:r>
      <w:r w:rsidRPr="002302B1">
        <w:rPr>
          <w:b/>
          <w:bCs/>
          <w:sz w:val="16"/>
          <w:szCs w:val="16"/>
          <w:lang w:val="es-ES_tradnl"/>
        </w:rPr>
        <w:t>Código General del Proceso, Artículo 48 (Ley 1564 de 2012):</w:t>
      </w:r>
      <w:r w:rsidRPr="002302B1">
        <w:rPr>
          <w:sz w:val="16"/>
          <w:szCs w:val="16"/>
          <w:lang w:val="es-ES_tradnl"/>
        </w:rPr>
        <w:t xml:space="preserve"> regula la intervención de intérpretes y traductores para quienes no comprendan el idioma castellano o </w:t>
      </w:r>
      <w:r>
        <w:rPr>
          <w:sz w:val="16"/>
          <w:szCs w:val="16"/>
          <w:lang w:val="es-ES_tradnl"/>
        </w:rPr>
        <w:t>sean Persona con D</w:t>
      </w:r>
      <w:r w:rsidRPr="002302B1">
        <w:rPr>
          <w:sz w:val="16"/>
          <w:szCs w:val="16"/>
          <w:lang w:val="es-ES_tradnl"/>
        </w:rPr>
        <w:t xml:space="preserve">iscapacidad </w:t>
      </w:r>
      <w:r>
        <w:rPr>
          <w:sz w:val="16"/>
          <w:szCs w:val="16"/>
          <w:lang w:val="es-ES_tradnl"/>
        </w:rPr>
        <w:t>donde se vea afectada la</w:t>
      </w:r>
      <w:r w:rsidRPr="002302B1">
        <w:rPr>
          <w:sz w:val="16"/>
          <w:szCs w:val="16"/>
          <w:lang w:val="es-ES_tradnl"/>
        </w:rPr>
        <w:t xml:space="preserve"> comunicación</w:t>
      </w:r>
      <w:r>
        <w:rPr>
          <w:sz w:val="16"/>
          <w:szCs w:val="16"/>
          <w:lang w:val="es-ES_tradnl"/>
        </w:rPr>
        <w:t xml:space="preserve"> verbal-auditiva</w:t>
      </w:r>
      <w:r w:rsidRPr="002302B1">
        <w:rPr>
          <w:sz w:val="16"/>
          <w:szCs w:val="16"/>
          <w:lang w:val="es-ES_tradnl"/>
        </w:rPr>
        <w:t>, garantizando la accesibilidad y el derecho al debido proceso.</w:t>
      </w:r>
    </w:p>
  </w:footnote>
  <w:footnote w:id="5">
    <w:p w14:paraId="4B7CC70C" w14:textId="77777777" w:rsidR="00830DAA" w:rsidRPr="00D5204F" w:rsidRDefault="00830DAA" w:rsidP="00830DAA">
      <w:pPr>
        <w:pStyle w:val="Textonotapie"/>
        <w:rPr>
          <w:lang w:val="es-MX"/>
        </w:rPr>
      </w:pPr>
      <w:r>
        <w:rPr>
          <w:rStyle w:val="Refdenotaalpie"/>
        </w:rPr>
        <w:footnoteRef/>
      </w:r>
      <w:r>
        <w:t xml:space="preserve"> </w:t>
      </w:r>
      <w:r w:rsidRPr="00D5204F">
        <w:rPr>
          <w:sz w:val="16"/>
          <w:szCs w:val="16"/>
          <w:lang w:val="es-419"/>
        </w:rPr>
        <w:t>Gobierno de Colombia, Acuerdo de Gobierno 041 de 2023 y Acuerdo de Gobierno 042 de 2023, por los cuales se dictan disposiciones relacionadas con la implementación de políticas públicas y ajustes institucionales en materia de inclusión y atención a poblaciones en situación de vulnerabilidad.</w:t>
      </w:r>
    </w:p>
  </w:footnote>
  <w:footnote w:id="6">
    <w:p w14:paraId="0CED0402" w14:textId="77777777" w:rsidR="00830DAA" w:rsidRPr="00D5204F" w:rsidRDefault="00830DAA" w:rsidP="00830DAA">
      <w:pPr>
        <w:pStyle w:val="Textonotapie"/>
        <w:rPr>
          <w:lang w:val="es-MX"/>
        </w:rPr>
      </w:pPr>
      <w:r>
        <w:rPr>
          <w:rStyle w:val="Refdenotaalpie"/>
        </w:rPr>
        <w:footnoteRef/>
      </w:r>
      <w:r>
        <w:t xml:space="preserve"> </w:t>
      </w:r>
      <w:r w:rsidRPr="00D5204F">
        <w:rPr>
          <w:sz w:val="16"/>
          <w:szCs w:val="16"/>
          <w:lang w:val="es-419"/>
        </w:rPr>
        <w:t>Jurisdicción Especial para la Paz (JEP), Guía para Notificaciones con pertinencia, en respuesta a la Sentencia Interpretativa 3 (TP-SA-SENIT), diciembre de 2022, documento interno que establece lineamientos y protocolos para garantizar la efectividad y accesibilidad de las notificaciones dirigidas a las partes y personas interesadas.</w:t>
      </w:r>
    </w:p>
  </w:footnote>
  <w:footnote w:id="7">
    <w:p w14:paraId="7BBF82BC" w14:textId="77777777" w:rsidR="00830DAA" w:rsidRPr="00D5204F" w:rsidRDefault="00830DAA" w:rsidP="00830DAA">
      <w:pPr>
        <w:pStyle w:val="Textonotapie"/>
        <w:rPr>
          <w:sz w:val="16"/>
          <w:szCs w:val="16"/>
          <w:lang w:val="es-MX"/>
        </w:rPr>
      </w:pPr>
      <w:r w:rsidRPr="00D5204F">
        <w:rPr>
          <w:rStyle w:val="Refdenotaalpie"/>
          <w:sz w:val="16"/>
          <w:szCs w:val="16"/>
        </w:rPr>
        <w:footnoteRef/>
      </w:r>
      <w:r w:rsidRPr="00D5204F">
        <w:rPr>
          <w:sz w:val="16"/>
          <w:szCs w:val="16"/>
        </w:rPr>
        <w:t xml:space="preserve"> </w:t>
      </w:r>
      <w:r w:rsidRPr="00D5204F">
        <w:rPr>
          <w:sz w:val="16"/>
          <w:szCs w:val="16"/>
          <w:lang w:val="es-419"/>
        </w:rPr>
        <w:t>Jurisdicción Especial para la Paz, Enfoque de personas con discapacidad, lineamiento institucional que establece medidas de accesibilidad, ajustes razonables y atención diferencial para garantizar los derechos de las personas con discapacidad, promoviendo su inclusión plena y efectiva en el acceso a la justicia transicional.</w:t>
      </w:r>
    </w:p>
  </w:footnote>
  <w:footnote w:id="8">
    <w:p w14:paraId="7D076778" w14:textId="77777777" w:rsidR="00830DAA" w:rsidRPr="00D5204F" w:rsidRDefault="00830DAA" w:rsidP="00830DAA">
      <w:pPr>
        <w:pStyle w:val="Textonotapie"/>
        <w:rPr>
          <w:sz w:val="16"/>
          <w:szCs w:val="16"/>
          <w:lang w:val="es-MX"/>
        </w:rPr>
      </w:pPr>
      <w:r w:rsidRPr="00D5204F">
        <w:rPr>
          <w:rStyle w:val="Refdenotaalpie"/>
          <w:sz w:val="16"/>
          <w:szCs w:val="16"/>
        </w:rPr>
        <w:footnoteRef/>
      </w:r>
      <w:r w:rsidRPr="00D5204F">
        <w:rPr>
          <w:sz w:val="16"/>
          <w:szCs w:val="16"/>
        </w:rPr>
        <w:t xml:space="preserve"> </w:t>
      </w:r>
      <w:r w:rsidRPr="00D5204F">
        <w:rPr>
          <w:sz w:val="16"/>
          <w:szCs w:val="16"/>
          <w:lang w:val="es-419"/>
        </w:rPr>
        <w:t>Jurisdicción Especial para la Paz (JEP), Auto TP SeRVR RC – AS JRMV-021-2024: Análisis de Iniciativas de Proyectos Caso Conjunto 03 – 04 OAED, documento interno que contiene el análisis y seguimiento de iniciativas de proyectos relacionados con los casos conjuntos 03 y 04, incluyendo lineamientos operativos y consideraciones sobre la implementación de medidas de enfoque diferencial.</w:t>
      </w:r>
    </w:p>
  </w:footnote>
  <w:footnote w:id="9">
    <w:p w14:paraId="3EE04833" w14:textId="1F485CA4" w:rsidR="00D839D4" w:rsidRPr="00D839D4" w:rsidRDefault="00D839D4">
      <w:pPr>
        <w:pStyle w:val="Textonotapie"/>
        <w:rPr>
          <w:sz w:val="16"/>
          <w:szCs w:val="16"/>
          <w:lang w:val="es-ES_tradnl"/>
        </w:rPr>
      </w:pPr>
      <w:r>
        <w:rPr>
          <w:rStyle w:val="Refdenotaalpie"/>
        </w:rPr>
        <w:footnoteRef/>
      </w:r>
      <w:r>
        <w:t xml:space="preserve"> </w:t>
      </w:r>
      <w:proofErr w:type="spellStart"/>
      <w:r w:rsidRPr="00D839D4">
        <w:rPr>
          <w:b/>
          <w:bCs/>
          <w:sz w:val="16"/>
          <w:szCs w:val="16"/>
          <w:lang w:val="es-ES_tradnl"/>
        </w:rPr>
        <w:t>Macrocaso</w:t>
      </w:r>
      <w:proofErr w:type="spellEnd"/>
      <w:r w:rsidRPr="00D839D4">
        <w:rPr>
          <w:b/>
          <w:bCs/>
          <w:sz w:val="16"/>
          <w:szCs w:val="16"/>
          <w:lang w:val="es-ES_tradnl"/>
        </w:rPr>
        <w:t xml:space="preserve"> 03:</w:t>
      </w:r>
      <w:r w:rsidRPr="00D839D4">
        <w:rPr>
          <w:sz w:val="16"/>
          <w:szCs w:val="16"/>
          <w:lang w:val="es-ES_tradnl"/>
        </w:rPr>
        <w:t xml:space="preserve"> denominado “Asesinatos y desapariciones forzadas presentados como bajas en combate por agentes del Estado” (mal llamados “falsos positivos”).</w:t>
      </w:r>
    </w:p>
  </w:footnote>
  <w:footnote w:id="10">
    <w:p w14:paraId="1F8CAC83" w14:textId="51A13031" w:rsidR="00D839D4" w:rsidRPr="00D839D4" w:rsidRDefault="00D839D4">
      <w:pPr>
        <w:pStyle w:val="Textonotapie"/>
        <w:rPr>
          <w:lang w:val="es-ES_tradnl"/>
        </w:rPr>
      </w:pPr>
      <w:r w:rsidRPr="00D839D4">
        <w:rPr>
          <w:rStyle w:val="Refdenotaalpie"/>
          <w:sz w:val="16"/>
          <w:szCs w:val="16"/>
          <w:lang w:val="es-ES_tradnl"/>
        </w:rPr>
        <w:footnoteRef/>
      </w:r>
      <w:r w:rsidRPr="00D839D4">
        <w:rPr>
          <w:sz w:val="16"/>
          <w:szCs w:val="16"/>
          <w:lang w:val="es-ES_tradnl"/>
        </w:rPr>
        <w:t xml:space="preserve"> </w:t>
      </w:r>
      <w:proofErr w:type="spellStart"/>
      <w:r w:rsidRPr="00D839D4">
        <w:rPr>
          <w:b/>
          <w:bCs/>
          <w:sz w:val="16"/>
          <w:szCs w:val="16"/>
          <w:lang w:val="es-ES_tradnl"/>
        </w:rPr>
        <w:t>Macrocaso</w:t>
      </w:r>
      <w:proofErr w:type="spellEnd"/>
      <w:r w:rsidRPr="00D839D4">
        <w:rPr>
          <w:b/>
          <w:bCs/>
          <w:sz w:val="16"/>
          <w:szCs w:val="16"/>
          <w:lang w:val="es-ES_tradnl"/>
        </w:rPr>
        <w:t xml:space="preserve"> 04: </w:t>
      </w:r>
      <w:r w:rsidRPr="00D839D4">
        <w:rPr>
          <w:sz w:val="16"/>
          <w:szCs w:val="16"/>
          <w:lang w:val="es-ES_tradnl"/>
        </w:rPr>
        <w:t>denominado “Situación territorial de la región de Urabá”, que investiga crímenes ocurridos en el marco del conflicto armado en esa zona del país.</w:t>
      </w:r>
    </w:p>
  </w:footnote>
  <w:footnote w:id="11">
    <w:p w14:paraId="20196C7E" w14:textId="77777777" w:rsidR="00830DAA" w:rsidRPr="00D5204F" w:rsidRDefault="00830DAA" w:rsidP="00830DAA">
      <w:pPr>
        <w:pStyle w:val="Textonotapie"/>
        <w:rPr>
          <w:sz w:val="16"/>
          <w:szCs w:val="16"/>
          <w:lang w:val="es-MX"/>
        </w:rPr>
      </w:pPr>
      <w:r w:rsidRPr="00D5204F">
        <w:rPr>
          <w:rStyle w:val="Refdenotaalpie"/>
          <w:sz w:val="16"/>
          <w:szCs w:val="16"/>
        </w:rPr>
        <w:footnoteRef/>
      </w:r>
      <w:r w:rsidRPr="00D5204F">
        <w:rPr>
          <w:sz w:val="16"/>
          <w:szCs w:val="16"/>
        </w:rPr>
        <w:t xml:space="preserve"> </w:t>
      </w:r>
      <w:r w:rsidRPr="00D5204F">
        <w:rPr>
          <w:sz w:val="16"/>
          <w:szCs w:val="16"/>
          <w:lang w:val="es-419"/>
        </w:rPr>
        <w:t>Jurisdicción Especial para la Paz, Auto SRT-SB-AMG-537 de 2025, mediante el cual se establecen lineamientos y medidas para asegurar el acceso efectivo a la justicia transicional, incluyendo la implementación de ajustes razonables y la protección de derechos de las personas afectadas en los procesos de la JEP</w:t>
      </w:r>
    </w:p>
  </w:footnote>
  <w:footnote w:id="12">
    <w:p w14:paraId="0A63E808" w14:textId="77777777" w:rsidR="00830DAA" w:rsidRPr="00D5204F" w:rsidRDefault="00830DAA" w:rsidP="00830DAA">
      <w:pPr>
        <w:pStyle w:val="Textonotapie"/>
        <w:rPr>
          <w:sz w:val="16"/>
          <w:szCs w:val="16"/>
          <w:lang w:val="es-MX"/>
        </w:rPr>
      </w:pPr>
      <w:r w:rsidRPr="00D5204F">
        <w:rPr>
          <w:rStyle w:val="Refdenotaalpie"/>
          <w:sz w:val="16"/>
          <w:szCs w:val="16"/>
        </w:rPr>
        <w:footnoteRef/>
      </w:r>
      <w:r w:rsidRPr="00D5204F">
        <w:rPr>
          <w:sz w:val="16"/>
          <w:szCs w:val="16"/>
        </w:rPr>
        <w:t xml:space="preserve"> </w:t>
      </w:r>
      <w:r w:rsidRPr="00D5204F">
        <w:rPr>
          <w:sz w:val="16"/>
          <w:szCs w:val="16"/>
          <w:lang w:val="es-419"/>
        </w:rPr>
        <w:t>Comité Nacional de Lisiados de Guerra, Personas Mayores y con Enfermedades de Alto Costo (CONELAEC), Acción Afirmativa, instrumento normativo que define medidas de inclusión, ajustes razonables y protección diferencial para asegurar el acceso efectivo a derechos y participación de personas en situación de vulnerabilidad</w:t>
      </w:r>
      <w:r w:rsidRPr="00D5204F">
        <w:rPr>
          <w:sz w:val="16"/>
          <w:szCs w:val="16"/>
        </w:rPr>
        <w:t> </w:t>
      </w:r>
    </w:p>
  </w:footnote>
  <w:footnote w:id="13">
    <w:p w14:paraId="2F7ADDB5" w14:textId="65194444" w:rsidR="00D839D4" w:rsidRPr="00D839D4" w:rsidRDefault="00D839D4">
      <w:pPr>
        <w:pStyle w:val="Textonotapie"/>
        <w:rPr>
          <w:lang w:val="es-ES_tradnl"/>
        </w:rPr>
      </w:pPr>
      <w:r>
        <w:rPr>
          <w:rStyle w:val="Refdenotaalpie"/>
        </w:rPr>
        <w:footnoteRef/>
      </w:r>
      <w:r>
        <w:t xml:space="preserve"> </w:t>
      </w:r>
      <w:r w:rsidRPr="00D839D4">
        <w:rPr>
          <w:b/>
          <w:bCs/>
          <w:sz w:val="16"/>
          <w:szCs w:val="16"/>
          <w:lang w:val="es-ES_tradnl"/>
        </w:rPr>
        <w:t>SAAD (Sistema Autónomo de Asesoría y Defensa):</w:t>
      </w:r>
      <w:r w:rsidRPr="00D839D4">
        <w:rPr>
          <w:sz w:val="16"/>
          <w:szCs w:val="16"/>
          <w:lang w:val="es-ES_tradnl"/>
        </w:rPr>
        <w:t xml:space="preserve"> mecanismo creado por la Jurisdicción Especial para la Paz (JEP) para garantizar el acceso a la asesoría y defensa técnica de las víctimas, comparecientes y demás intervinientes en los procesos, conforme al Artículo 108 de la Ley 1957 de 2019 (Ley Estatutaria de la JEP).</w:t>
      </w:r>
    </w:p>
  </w:footnote>
  <w:footnote w:id="14">
    <w:p w14:paraId="35C92E9C" w14:textId="77777777" w:rsidR="00830DAA" w:rsidRPr="00623818" w:rsidRDefault="00830DAA" w:rsidP="00830DAA">
      <w:pPr>
        <w:pStyle w:val="Textonotapie"/>
        <w:rPr>
          <w:sz w:val="16"/>
          <w:szCs w:val="16"/>
          <w:lang w:val="es-MX"/>
        </w:rPr>
      </w:pPr>
      <w:r w:rsidRPr="00623818">
        <w:rPr>
          <w:rStyle w:val="Refdenotaalpie"/>
          <w:sz w:val="16"/>
          <w:szCs w:val="16"/>
        </w:rPr>
        <w:footnoteRef/>
      </w:r>
      <w:r w:rsidRPr="00D5204F">
        <w:rPr>
          <w:sz w:val="16"/>
          <w:szCs w:val="16"/>
        </w:rPr>
        <w:t xml:space="preserve"> </w:t>
      </w:r>
      <w:r w:rsidRPr="00D5204F">
        <w:rPr>
          <w:sz w:val="16"/>
          <w:szCs w:val="16"/>
          <w:lang w:val="es-419"/>
        </w:rPr>
        <w:t xml:space="preserve">Jurisdicción Especial para la Paz, </w:t>
      </w:r>
      <w:r>
        <w:rPr>
          <w:sz w:val="16"/>
          <w:szCs w:val="16"/>
          <w:lang w:val="es-419"/>
        </w:rPr>
        <w:t xml:space="preserve">Orden Sentencia TP-SeRVR-RC-ST-N°001-2025 </w:t>
      </w:r>
      <w:r w:rsidRPr="00D5204F">
        <w:rPr>
          <w:sz w:val="16"/>
          <w:szCs w:val="16"/>
          <w:lang w:val="es-419"/>
        </w:rPr>
        <w:t>de 2025</w:t>
      </w:r>
      <w:r>
        <w:rPr>
          <w:sz w:val="16"/>
          <w:szCs w:val="16"/>
          <w:lang w:val="es-419"/>
        </w:rPr>
        <w:t xml:space="preserve">. </w:t>
      </w:r>
    </w:p>
  </w:footnote>
  <w:footnote w:id="15">
    <w:p w14:paraId="2451A1B5" w14:textId="31619B13" w:rsidR="008F17F8" w:rsidRPr="008F17F8" w:rsidRDefault="008F17F8">
      <w:pPr>
        <w:pStyle w:val="Textonotapie"/>
        <w:rPr>
          <w:lang w:val="es-ES_tradnl"/>
        </w:rPr>
      </w:pPr>
      <w:r>
        <w:rPr>
          <w:rStyle w:val="Refdenotaalpie"/>
        </w:rPr>
        <w:footnoteRef/>
      </w:r>
      <w:r>
        <w:t xml:space="preserve"> </w:t>
      </w:r>
      <w:r w:rsidRPr="008F17F8">
        <w:rPr>
          <w:b/>
          <w:bCs/>
          <w:sz w:val="16"/>
          <w:szCs w:val="16"/>
          <w:lang w:val="es-ES_tradnl"/>
        </w:rPr>
        <w:t>Caso 01 – JEP:</w:t>
      </w:r>
      <w:r w:rsidRPr="008F17F8">
        <w:rPr>
          <w:sz w:val="16"/>
          <w:szCs w:val="16"/>
          <w:lang w:val="es-ES_tradnl"/>
        </w:rPr>
        <w:t xml:space="preserve">  investiga secuestros y privaciones graves de la libertad cometidos por la extinta organización Fuerzas Armadas Revolucionarias de Colombia – Ejército del Pueblo (FARC-EP) en el contexto del conflicto armado colombiano.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B11"/>
    <w:multiLevelType w:val="hybridMultilevel"/>
    <w:tmpl w:val="D39EFBA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927321"/>
    <w:multiLevelType w:val="hybridMultilevel"/>
    <w:tmpl w:val="FF504DE8"/>
    <w:lvl w:ilvl="0" w:tplc="D2A6ACC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AB011F"/>
    <w:multiLevelType w:val="hybridMultilevel"/>
    <w:tmpl w:val="6B7AC5B8"/>
    <w:lvl w:ilvl="0" w:tplc="D2A6ACC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23673B"/>
    <w:multiLevelType w:val="hybridMultilevel"/>
    <w:tmpl w:val="033EDBD0"/>
    <w:lvl w:ilvl="0" w:tplc="D2A6ACC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5B24B99"/>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216E91"/>
    <w:multiLevelType w:val="hybridMultilevel"/>
    <w:tmpl w:val="F7FACBC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EE53596"/>
    <w:multiLevelType w:val="hybridMultilevel"/>
    <w:tmpl w:val="EA16E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A90B5D"/>
    <w:multiLevelType w:val="hybridMultilevel"/>
    <w:tmpl w:val="D006231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4874A01"/>
    <w:multiLevelType w:val="hybridMultilevel"/>
    <w:tmpl w:val="B2389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AD7591"/>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1B392C"/>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802C50"/>
    <w:multiLevelType w:val="hybridMultilevel"/>
    <w:tmpl w:val="78445148"/>
    <w:lvl w:ilvl="0" w:tplc="D2A6ACC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4CA1829"/>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845E9F"/>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C815AF"/>
    <w:multiLevelType w:val="hybridMultilevel"/>
    <w:tmpl w:val="302EA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1935F3"/>
    <w:multiLevelType w:val="hybridMultilevel"/>
    <w:tmpl w:val="E5FA6132"/>
    <w:lvl w:ilvl="0" w:tplc="240A0001">
      <w:start w:val="1"/>
      <w:numFmt w:val="bullet"/>
      <w:lvlText w:val=""/>
      <w:lvlJc w:val="left"/>
      <w:pPr>
        <w:ind w:left="1003" w:hanging="360"/>
      </w:pPr>
      <w:rPr>
        <w:rFonts w:ascii="Symbol" w:hAnsi="Symbol" w:hint="default"/>
      </w:rPr>
    </w:lvl>
    <w:lvl w:ilvl="1" w:tplc="240A0003">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6" w15:restartNumberingAfterBreak="0">
    <w:nsid w:val="76A15BB8"/>
    <w:multiLevelType w:val="hybridMultilevel"/>
    <w:tmpl w:val="F7FACB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33047D"/>
    <w:multiLevelType w:val="hybridMultilevel"/>
    <w:tmpl w:val="B25857A6"/>
    <w:lvl w:ilvl="0" w:tplc="D2A6ACC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74503098">
    <w:abstractNumId w:val="7"/>
  </w:num>
  <w:num w:numId="2" w16cid:durableId="833032549">
    <w:abstractNumId w:val="5"/>
  </w:num>
  <w:num w:numId="3" w16cid:durableId="999119733">
    <w:abstractNumId w:val="0"/>
  </w:num>
  <w:num w:numId="4" w16cid:durableId="327831708">
    <w:abstractNumId w:val="8"/>
  </w:num>
  <w:num w:numId="5" w16cid:durableId="2142529243">
    <w:abstractNumId w:val="6"/>
  </w:num>
  <w:num w:numId="6" w16cid:durableId="1103300673">
    <w:abstractNumId w:val="14"/>
  </w:num>
  <w:num w:numId="7" w16cid:durableId="248320751">
    <w:abstractNumId w:val="12"/>
  </w:num>
  <w:num w:numId="8" w16cid:durableId="88887696">
    <w:abstractNumId w:val="11"/>
  </w:num>
  <w:num w:numId="9" w16cid:durableId="1557626120">
    <w:abstractNumId w:val="16"/>
  </w:num>
  <w:num w:numId="10" w16cid:durableId="875775573">
    <w:abstractNumId w:val="17"/>
  </w:num>
  <w:num w:numId="11" w16cid:durableId="1742292832">
    <w:abstractNumId w:val="4"/>
  </w:num>
  <w:num w:numId="12" w16cid:durableId="578562367">
    <w:abstractNumId w:val="2"/>
  </w:num>
  <w:num w:numId="13" w16cid:durableId="528031936">
    <w:abstractNumId w:val="9"/>
  </w:num>
  <w:num w:numId="14" w16cid:durableId="139350832">
    <w:abstractNumId w:val="3"/>
  </w:num>
  <w:num w:numId="15" w16cid:durableId="497696415">
    <w:abstractNumId w:val="10"/>
  </w:num>
  <w:num w:numId="16" w16cid:durableId="976492385">
    <w:abstractNumId w:val="1"/>
  </w:num>
  <w:num w:numId="17" w16cid:durableId="1012221582">
    <w:abstractNumId w:val="13"/>
  </w:num>
  <w:num w:numId="18" w16cid:durableId="404844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AA"/>
    <w:rsid w:val="000C07C5"/>
    <w:rsid w:val="002302B1"/>
    <w:rsid w:val="00245DA1"/>
    <w:rsid w:val="00337269"/>
    <w:rsid w:val="00485A14"/>
    <w:rsid w:val="005A6773"/>
    <w:rsid w:val="00830DAA"/>
    <w:rsid w:val="008F17F8"/>
    <w:rsid w:val="009D0094"/>
    <w:rsid w:val="00A16DE7"/>
    <w:rsid w:val="00D839D4"/>
    <w:rsid w:val="00F845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46B92BD"/>
  <w15:chartTrackingRefBased/>
  <w15:docId w15:val="{5BA6B242-01E3-914E-B7CC-88080DB3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AA"/>
    <w:pPr>
      <w:spacing w:after="200" w:line="240" w:lineRule="auto"/>
    </w:pPr>
    <w:rPr>
      <w:rFonts w:ascii="Palatino Linotype" w:eastAsiaTheme="minorEastAsia" w:hAnsi="Palatino Linotype"/>
      <w:kern w:val="0"/>
      <w:sz w:val="22"/>
      <w:szCs w:val="22"/>
      <w:lang w:val="en-US"/>
      <w14:ligatures w14:val="none"/>
    </w:rPr>
  </w:style>
  <w:style w:type="paragraph" w:styleId="Ttulo1">
    <w:name w:val="heading 1"/>
    <w:basedOn w:val="Normal"/>
    <w:next w:val="Normal"/>
    <w:link w:val="Ttulo1Car"/>
    <w:uiPriority w:val="9"/>
    <w:qFormat/>
    <w:rsid w:val="00830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0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30D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30D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0D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0D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0D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0D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0D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0D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0D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30D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30D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0D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0D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0D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0D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0DAA"/>
    <w:rPr>
      <w:rFonts w:eastAsiaTheme="majorEastAsia" w:cstheme="majorBidi"/>
      <w:color w:val="272727" w:themeColor="text1" w:themeTint="D8"/>
    </w:rPr>
  </w:style>
  <w:style w:type="paragraph" w:styleId="Ttulo">
    <w:name w:val="Title"/>
    <w:basedOn w:val="Normal"/>
    <w:next w:val="Normal"/>
    <w:link w:val="TtuloCar"/>
    <w:uiPriority w:val="10"/>
    <w:qFormat/>
    <w:rsid w:val="00830D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0D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0D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0D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0DAA"/>
    <w:pPr>
      <w:spacing w:before="160"/>
      <w:jc w:val="center"/>
    </w:pPr>
    <w:rPr>
      <w:i/>
      <w:iCs/>
      <w:color w:val="404040" w:themeColor="text1" w:themeTint="BF"/>
    </w:rPr>
  </w:style>
  <w:style w:type="character" w:customStyle="1" w:styleId="CitaCar">
    <w:name w:val="Cita Car"/>
    <w:basedOn w:val="Fuentedeprrafopredeter"/>
    <w:link w:val="Cita"/>
    <w:uiPriority w:val="29"/>
    <w:rsid w:val="00830DAA"/>
    <w:rPr>
      <w:i/>
      <w:iCs/>
      <w:color w:val="404040" w:themeColor="text1" w:themeTint="BF"/>
    </w:rPr>
  </w:style>
  <w:style w:type="paragraph" w:styleId="Prrafodelista">
    <w:name w:val="List Paragraph"/>
    <w:aliases w:val="List,titulo 3,Ha,Párrafo de lista2,Bullets,EITI list,Párrafo de lista1,Lista vistosa - Énfasis 11,Cuadrícula clara - Énfasis 31,Cuadrícula media 1 - Énfasis 21,VIÑETA,VIÑETAS,Viñetas,List Paragraph1,Betulia Título 1"/>
    <w:basedOn w:val="Normal"/>
    <w:link w:val="PrrafodelistaCar"/>
    <w:uiPriority w:val="34"/>
    <w:qFormat/>
    <w:rsid w:val="00830DAA"/>
    <w:pPr>
      <w:ind w:left="720"/>
      <w:contextualSpacing/>
    </w:pPr>
  </w:style>
  <w:style w:type="character" w:styleId="nfasisintenso">
    <w:name w:val="Intense Emphasis"/>
    <w:basedOn w:val="Fuentedeprrafopredeter"/>
    <w:uiPriority w:val="21"/>
    <w:qFormat/>
    <w:rsid w:val="00830DAA"/>
    <w:rPr>
      <w:i/>
      <w:iCs/>
      <w:color w:val="0F4761" w:themeColor="accent1" w:themeShade="BF"/>
    </w:rPr>
  </w:style>
  <w:style w:type="paragraph" w:styleId="Citadestacada">
    <w:name w:val="Intense Quote"/>
    <w:basedOn w:val="Normal"/>
    <w:next w:val="Normal"/>
    <w:link w:val="CitadestacadaCar"/>
    <w:uiPriority w:val="30"/>
    <w:qFormat/>
    <w:rsid w:val="00830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0DAA"/>
    <w:rPr>
      <w:i/>
      <w:iCs/>
      <w:color w:val="0F4761" w:themeColor="accent1" w:themeShade="BF"/>
    </w:rPr>
  </w:style>
  <w:style w:type="character" w:styleId="Referenciaintensa">
    <w:name w:val="Intense Reference"/>
    <w:basedOn w:val="Fuentedeprrafopredeter"/>
    <w:uiPriority w:val="32"/>
    <w:qFormat/>
    <w:rsid w:val="00830DAA"/>
    <w:rPr>
      <w:b/>
      <w:bCs/>
      <w:smallCaps/>
      <w:color w:val="0F4761" w:themeColor="accent1" w:themeShade="BF"/>
      <w:spacing w:val="5"/>
    </w:rPr>
  </w:style>
  <w:style w:type="paragraph" w:styleId="Textonotapie">
    <w:name w:val="footnote text"/>
    <w:basedOn w:val="Normal"/>
    <w:link w:val="TextonotapieCar"/>
    <w:uiPriority w:val="99"/>
    <w:semiHidden/>
    <w:unhideWhenUsed/>
    <w:rsid w:val="00830DAA"/>
    <w:pPr>
      <w:spacing w:after="0"/>
    </w:pPr>
    <w:rPr>
      <w:sz w:val="20"/>
      <w:szCs w:val="20"/>
    </w:rPr>
  </w:style>
  <w:style w:type="character" w:customStyle="1" w:styleId="TextonotapieCar">
    <w:name w:val="Texto nota pie Car"/>
    <w:basedOn w:val="Fuentedeprrafopredeter"/>
    <w:link w:val="Textonotapie"/>
    <w:uiPriority w:val="99"/>
    <w:semiHidden/>
    <w:rsid w:val="00830DAA"/>
    <w:rPr>
      <w:rFonts w:ascii="Palatino Linotype" w:eastAsiaTheme="minorEastAsia" w:hAnsi="Palatino Linotype"/>
      <w:kern w:val="0"/>
      <w:sz w:val="20"/>
      <w:szCs w:val="20"/>
      <w:lang w:val="en-US"/>
      <w14:ligatures w14:val="none"/>
    </w:rPr>
  </w:style>
  <w:style w:type="character" w:styleId="Refdenotaalpie">
    <w:name w:val="footnote reference"/>
    <w:basedOn w:val="Fuentedeprrafopredeter"/>
    <w:uiPriority w:val="99"/>
    <w:semiHidden/>
    <w:unhideWhenUsed/>
    <w:rsid w:val="00830DAA"/>
    <w:rPr>
      <w:vertAlign w:val="superscript"/>
    </w:rPr>
  </w:style>
  <w:style w:type="character" w:customStyle="1" w:styleId="PrrafodelistaCar">
    <w:name w:val="Párrafo de lista Car"/>
    <w:aliases w:val="List Car,titulo 3 Car,Ha Car,Párrafo de lista2 Car,Bullets Car,EITI list Car,Párrafo de lista1 Car,Lista vistosa - Énfasis 11 Car,Cuadrícula clara - Énfasis 31 Car,Cuadrícula media 1 - Énfasis 21 Car,VIÑETA Car,VIÑETAS Car"/>
    <w:link w:val="Prrafodelista"/>
    <w:uiPriority w:val="34"/>
    <w:qFormat/>
    <w:locked/>
    <w:rsid w:val="00830DAA"/>
  </w:style>
  <w:style w:type="paragraph" w:customStyle="1" w:styleId="p1">
    <w:name w:val="p1"/>
    <w:basedOn w:val="Normal"/>
    <w:rsid w:val="00830DAA"/>
    <w:pPr>
      <w:spacing w:after="0"/>
    </w:pPr>
    <w:rPr>
      <w:rFonts w:ascii="Helvetica" w:eastAsia="Times New Roman" w:hAnsi="Helvetica" w:cs="Times New Roman"/>
      <w:color w:val="000000"/>
      <w:sz w:val="17"/>
      <w:szCs w:val="17"/>
      <w:lang w:val="es-CO" w:eastAsia="es-ES_tradnl"/>
    </w:rPr>
  </w:style>
  <w:style w:type="paragraph" w:styleId="Sangradetextonormal">
    <w:name w:val="Body Text Indent"/>
    <w:basedOn w:val="Normal"/>
    <w:link w:val="SangradetextonormalCar"/>
    <w:uiPriority w:val="99"/>
    <w:unhideWhenUsed/>
    <w:rsid w:val="00830DAA"/>
    <w:pPr>
      <w:spacing w:after="120"/>
      <w:ind w:left="283"/>
    </w:pPr>
  </w:style>
  <w:style w:type="character" w:customStyle="1" w:styleId="SangradetextonormalCar">
    <w:name w:val="Sangría de texto normal Car"/>
    <w:basedOn w:val="Fuentedeprrafopredeter"/>
    <w:link w:val="Sangradetextonormal"/>
    <w:uiPriority w:val="99"/>
    <w:rsid w:val="00830DAA"/>
    <w:rPr>
      <w:rFonts w:ascii="Palatino Linotype" w:eastAsiaTheme="minorEastAsia" w:hAnsi="Palatino Linotype"/>
      <w:kern w:val="0"/>
      <w:sz w:val="22"/>
      <w:szCs w:val="22"/>
      <w:lang w:val="en-US"/>
      <w14:ligatures w14:val="none"/>
    </w:rPr>
  </w:style>
  <w:style w:type="character" w:styleId="Refdecomentario">
    <w:name w:val="annotation reference"/>
    <w:basedOn w:val="Fuentedeprrafopredeter"/>
    <w:uiPriority w:val="99"/>
    <w:semiHidden/>
    <w:unhideWhenUsed/>
    <w:rsid w:val="00830DAA"/>
    <w:rPr>
      <w:sz w:val="16"/>
      <w:szCs w:val="16"/>
    </w:rPr>
  </w:style>
  <w:style w:type="paragraph" w:styleId="Textocomentario">
    <w:name w:val="annotation text"/>
    <w:basedOn w:val="Normal"/>
    <w:link w:val="TextocomentarioCar"/>
    <w:uiPriority w:val="99"/>
    <w:unhideWhenUsed/>
    <w:rsid w:val="00830DAA"/>
    <w:rPr>
      <w:sz w:val="20"/>
      <w:szCs w:val="20"/>
    </w:rPr>
  </w:style>
  <w:style w:type="character" w:customStyle="1" w:styleId="TextocomentarioCar">
    <w:name w:val="Texto comentario Car"/>
    <w:basedOn w:val="Fuentedeprrafopredeter"/>
    <w:link w:val="Textocomentario"/>
    <w:uiPriority w:val="99"/>
    <w:rsid w:val="00830DAA"/>
    <w:rPr>
      <w:rFonts w:ascii="Palatino Linotype" w:eastAsiaTheme="minorEastAsia" w:hAnsi="Palatino Linotype"/>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AAF94F3D4D4D64283274D7AC6CCBBD9" ma:contentTypeVersion="2" ma:contentTypeDescription="Crear nuevo documento." ma:contentTypeScope="" ma:versionID="1700a0265fdf6c2d7b9260e53066fb01">
  <xsd:schema xmlns:xsd="http://www.w3.org/2001/XMLSchema" xmlns:xs="http://www.w3.org/2001/XMLSchema" xmlns:p="http://schemas.microsoft.com/office/2006/metadata/properties" xmlns:ns2="676842bd-7662-4787-869f-2c79a6a14e38" targetNamespace="http://schemas.microsoft.com/office/2006/metadata/properties" ma:root="true" ma:fieldsID="f52fccb03833f01153eeaa0223b15afb" ns2:_="">
    <xsd:import namespace="676842bd-7662-4787-869f-2c79a6a14e3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842bd-7662-4787-869f-2c79a6a14e3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43C01-06D2-F14F-BFE2-2979D2CC4BB2}">
  <ds:schemaRefs>
    <ds:schemaRef ds:uri="http://schemas.openxmlformats.org/officeDocument/2006/bibliography"/>
  </ds:schemaRefs>
</ds:datastoreItem>
</file>

<file path=customXml/itemProps2.xml><?xml version="1.0" encoding="utf-8"?>
<ds:datastoreItem xmlns:ds="http://schemas.openxmlformats.org/officeDocument/2006/customXml" ds:itemID="{A12E31F5-D518-4210-9E6E-4E46D4BD8D20}"/>
</file>

<file path=customXml/itemProps3.xml><?xml version="1.0" encoding="utf-8"?>
<ds:datastoreItem xmlns:ds="http://schemas.openxmlformats.org/officeDocument/2006/customXml" ds:itemID="{DFA750BD-136E-4CEF-81E2-C89CCCBD7B98}"/>
</file>

<file path=customXml/itemProps4.xml><?xml version="1.0" encoding="utf-8"?>
<ds:datastoreItem xmlns:ds="http://schemas.openxmlformats.org/officeDocument/2006/customXml" ds:itemID="{1BB6A17C-F6CC-4B47-8F75-434EB7FD1E35}"/>
</file>

<file path=docProps/app.xml><?xml version="1.0" encoding="utf-8"?>
<Properties xmlns="http://schemas.openxmlformats.org/officeDocument/2006/extended-properties" xmlns:vt="http://schemas.openxmlformats.org/officeDocument/2006/docPropsVTypes">
  <Template>Normal.dotm</Template>
  <TotalTime>46</TotalTime>
  <Pages>10</Pages>
  <Words>2846</Words>
  <Characters>15654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alejandra de zubiria escamilla</dc:creator>
  <cp:keywords/>
  <dc:description/>
  <cp:lastModifiedBy>laura alejandra de zubiria escamilla</cp:lastModifiedBy>
  <cp:revision>1</cp:revision>
  <dcterms:created xsi:type="dcterms:W3CDTF">2025-11-05T20:04:00Z</dcterms:created>
  <dcterms:modified xsi:type="dcterms:W3CDTF">2025-11-05T21:13:00Z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0x0101003AAF94F3D4D4D64283274D7AC6CCBBD9</vt:lpwstr>
  </property>
</Properties>
</file>